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ascii="Times New Roman" w:hAnsi="Times New Roman" w:eastAsia="Times New Roman" w:cs="Times New Roman"/>
          <w:kern w:val="2"/>
          <w:sz w:val="21"/>
          <w:szCs w:val="21"/>
          <w:highlight w:val="none"/>
          <w:lang w:val="en-US" w:eastAsia="zh-CN" w:bidi="ar-SA"/>
        </w:rPr>
        <w:pict>
          <v:shape id="_x0000_i1025" o:spt="75" type="#_x0000_t75" style="height:61.6pt;width:153.6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  <w:jc w:val="center"/>
        <w:rPr>
          <w:rFonts w:hint="eastAsia" w:ascii="Cambria" w:hAnsi="Cambria" w:eastAsia="SimSu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Cambria" w:hAnsi="Cambria" w:eastAsia="SimSun"/>
          <w:b/>
          <w:sz w:val="28"/>
          <w:szCs w:val="28"/>
          <w:highlight w:val="none"/>
          <w:lang w:val="en-US" w:eastAsia="zh-CN"/>
        </w:rPr>
        <w:t>工银阿拉木图公司客户存贷款</w:t>
      </w:r>
    </w:p>
    <w:p>
      <w:pPr>
        <w:pStyle w:val="8"/>
        <w:jc w:val="center"/>
        <w:rPr>
          <w:rFonts w:ascii="Cambria" w:hAnsi="Cambria"/>
          <w:b/>
          <w:sz w:val="24"/>
          <w:szCs w:val="24"/>
          <w:highlight w:val="none"/>
        </w:rPr>
      </w:pPr>
      <w:r>
        <w:rPr>
          <w:rFonts w:hint="eastAsia" w:ascii="Cambria" w:hAnsi="Cambria" w:eastAsia="SimSun"/>
          <w:b/>
          <w:sz w:val="28"/>
          <w:szCs w:val="28"/>
          <w:highlight w:val="none"/>
          <w:lang w:val="en-US" w:eastAsia="zh-CN"/>
        </w:rPr>
        <w:t>金额范围、期限和利率范围</w:t>
      </w:r>
      <w:r>
        <w:rPr>
          <w:rFonts w:ascii="Cambria" w:hAnsi="Cambria"/>
          <w:b/>
          <w:sz w:val="24"/>
          <w:szCs w:val="24"/>
          <w:highlight w:val="none"/>
        </w:rPr>
        <w:cr/>
      </w:r>
    </w:p>
    <w:tbl>
      <w:tblPr>
        <w:tblStyle w:val="7"/>
        <w:tblW w:w="10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881"/>
        <w:gridCol w:w="1189"/>
        <w:gridCol w:w="1189"/>
        <w:gridCol w:w="1189"/>
        <w:gridCol w:w="1189"/>
        <w:gridCol w:w="1238"/>
        <w:gridCol w:w="126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>№</w:t>
            </w:r>
          </w:p>
        </w:tc>
        <w:tc>
          <w:tcPr>
            <w:tcW w:w="1881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产品名称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金额范围</w:t>
            </w:r>
          </w:p>
        </w:tc>
        <w:tc>
          <w:tcPr>
            <w:tcW w:w="237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期限</w:t>
            </w:r>
          </w:p>
        </w:tc>
        <w:tc>
          <w:tcPr>
            <w:tcW w:w="2498" w:type="dxa"/>
            <w:gridSpan w:val="2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 xml:space="preserve">              年利率</w:t>
            </w:r>
          </w:p>
        </w:tc>
        <w:tc>
          <w:tcPr>
            <w:tcW w:w="1283" w:type="dxa"/>
            <w:vMerge w:val="restart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年有效利率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9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881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最小额</w:t>
            </w:r>
            <w:r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最大额</w:t>
            </w:r>
            <w:r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最短期限</w:t>
            </w:r>
            <w:r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189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最长期限</w:t>
            </w:r>
            <w:r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38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最低利率</w:t>
            </w:r>
            <w:r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60" w:type="dxa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  <w:lang w:val="en-US" w:eastAsia="zh-CN"/>
              </w:rPr>
              <w:t>最高利率</w:t>
            </w:r>
            <w:r>
              <w:rPr>
                <w:rFonts w:hint="default" w:ascii="Times New Roman" w:hAnsi="Times New Roman" w:eastAsia="FZFangSong-Z02" w:cs="Times New Roman"/>
                <w:b/>
                <w:bCs w:val="0"/>
                <w:color w:val="FFFFFF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283" w:type="dxa"/>
            <w:vMerge w:val="continue"/>
            <w:shd w:val="clear" w:color="auto" w:fill="FF0000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FFFFFF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活期存款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 w:right="-134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根据双方协商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没有期限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没有期限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0%</w:t>
            </w:r>
          </w:p>
        </w:tc>
        <w:tc>
          <w:tcPr>
            <w:tcW w:w="1283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生态保证金存款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在存款合同所规定的特定情况发生之前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USD 0%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哈萨克斯坦 央行基准利率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USD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KZT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0%-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USD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0-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5,5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托管账户业务下特定存款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</w:tc>
        <w:tc>
          <w:tcPr>
            <w:tcW w:w="2378" w:type="dxa"/>
            <w:gridSpan w:val="2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在存款合同所规定的特定情况发生之前 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哈萨克斯坦央行基准利率+5%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5 %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30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5,5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EUR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0%-5,5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17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定期存款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根据双方协商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1个月以下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 年以上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12个月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12个月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以上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哈萨克斯坦央行基准利率+5%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3 %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30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0%-3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,5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12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  <w:t>4.1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隔夜存款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没有限定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1天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1天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 0,001 %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 0,001 %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 0,001%</w:t>
            </w: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KZT 1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5%</w:t>
            </w: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KZT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0%- 1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2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CNY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0%-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sz w:val="24"/>
                <w:szCs w:val="24"/>
                <w:highlight w:val="none"/>
              </w:rPr>
              <w:t>5.</w:t>
            </w:r>
          </w:p>
        </w:tc>
        <w:tc>
          <w:tcPr>
            <w:tcW w:w="1881" w:type="dxa"/>
            <w:vAlign w:val="top"/>
          </w:tcPr>
          <w:p>
            <w:pPr>
              <w:pStyle w:val="8"/>
              <w:wordWrap/>
              <w:snapToGrid/>
              <w:spacing w:after="0" w:line="240" w:lineRule="auto"/>
              <w:jc w:val="left"/>
              <w:textAlignment w:val="auto"/>
              <w:outlineLvl w:val="9"/>
              <w:rPr>
                <w:rFonts w:hint="default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eastAsia="FZFangSong-Z02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贷款业务（包括额度借款）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经各方协商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在单一借款人风险额度范围内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经各方协商</w:t>
            </w:r>
          </w:p>
        </w:tc>
        <w:tc>
          <w:tcPr>
            <w:tcW w:w="1189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经各方协商</w:t>
            </w:r>
          </w:p>
        </w:tc>
        <w:tc>
          <w:tcPr>
            <w:tcW w:w="1238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美元贷款利</w:t>
            </w:r>
            <w:r>
              <w:rPr>
                <w:rFonts w:hint="eastAsia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率不低于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0,1%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或SOFR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+ 0,1%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坚戈贷款利率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不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低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于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本行批准为借款人提供贷款当下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哈萨克斯坦央行基准率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人民币贷款利率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不低于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0.1%或shibor+0.1%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欧元贷款利率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不低于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0.1%或Euribor+0.1%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60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USD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美元贷款利</w:t>
            </w:r>
            <w:r>
              <w:rPr>
                <w:rFonts w:hint="eastAsia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率不高于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%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SOFR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+ 10%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KZT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坚戈贷款利率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不高于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30%或本行批准为借款人提供贷款当下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哈萨克斯坦央行基准率加10%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人民币贷款利率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不高于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30%或shibor+10%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EUR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30% 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欧元贷款利率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不高于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30%或Euribor+10%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83" w:type="dxa"/>
            <w:vAlign w:val="top"/>
          </w:tcPr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USD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美元贷款年化利率</w:t>
            </w:r>
            <w:r>
              <w:rPr>
                <w:rFonts w:hint="eastAsia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范围在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0,1%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 xml:space="preserve">% </w:t>
            </w:r>
            <w:r>
              <w:rPr>
                <w:rFonts w:hint="eastAsia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之间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KZT</w:t>
            </w: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坚戈贷款年化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利</w:t>
            </w: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率范围在8%-50%之间（其中担保贷款年化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利</w:t>
            </w: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率不超过40%）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/>
              </w:rPr>
              <w:t xml:space="preserve">CNY 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人民币贷款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年化</w:t>
            </w: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利率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范围</w:t>
            </w: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在0.1%-36%之间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  <w:lang w:val="en-US"/>
              </w:rPr>
              <w:t>EUR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15"/>
              <w:jc w:val="both"/>
              <w:textAlignment w:val="auto"/>
              <w:outlineLvl w:val="9"/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欧元贷款年化</w:t>
            </w:r>
            <w:r>
              <w:rPr>
                <w:rFonts w:hint="default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利</w:t>
            </w: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率</w:t>
            </w:r>
            <w:r>
              <w:rPr>
                <w:rFonts w:hint="eastAsia" w:ascii="Times New Roman" w:hAnsi="Times New Roman" w:eastAsia="FZFangSong-Z0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范围</w:t>
            </w:r>
            <w:r>
              <w:rPr>
                <w:rFonts w:hint="default" w:ascii="Times New Roman" w:hAnsi="Times New Roman" w:eastAsia="FZFangSong-Z02"/>
                <w:color w:val="auto"/>
                <w:sz w:val="24"/>
                <w:szCs w:val="24"/>
                <w:highlight w:val="none"/>
                <w:lang w:val="en-US" w:eastAsia="zh-CN"/>
              </w:rPr>
              <w:t>在0.1%-36%之间</w:t>
            </w:r>
          </w:p>
          <w:p>
            <w:pPr>
              <w:wordWrap/>
              <w:autoSpaceDE w:val="0"/>
              <w:autoSpaceDN w:val="0"/>
              <w:adjustRightInd w:val="0"/>
              <w:snapToGrid/>
              <w:spacing w:after="0" w:line="240" w:lineRule="auto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FZFangSong-Z0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jc w:val="both"/>
        <w:rPr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567" w:right="566" w:bottom="567" w:left="567" w:header="708" w:footer="709" w:gutter="0"/>
      <w:pgNumType w:fmt="decimal"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Calibri" w:cs="Times New Roman"/>
        <w:sz w:val="18"/>
        <w:szCs w:val="18"/>
        <w:lang w:val="en-US" w:eastAsia="en-US" w:bidi="ar-SA"/>
      </w:rPr>
      <w:pict>
        <v:rect id="Text Box 2" o:spid="_x0000_s2049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lang w:val="en-US"/>
                  </w:rPr>
                </w:pPr>
                <w:r>
                  <w:rPr>
                    <w:sz w:val="18"/>
                    <w:lang w:val="en-US"/>
                  </w:rPr>
                  <w:fldChar w:fldCharType="begin"/>
                </w:r>
                <w:r>
                  <w:rPr>
                    <w:sz w:val="18"/>
                    <w:lang w:val="en-US"/>
                  </w:rPr>
                  <w:instrText xml:space="preserve"> PAGE  \* MERGEFORMAT </w:instrText>
                </w:r>
                <w:r>
                  <w:rPr>
                    <w:sz w:val="18"/>
                    <w:lang w:val="en-US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  <w:lang w:val="en-US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Приложение №1</w:t>
    </w:r>
    <w:r>
      <w:rPr>
        <w:rFonts w:ascii="Cambria" w:hAnsi="Cambria"/>
        <w:sz w:val="20"/>
        <w:szCs w:val="20"/>
      </w:rPr>
      <w:cr/>
    </w:r>
    <w:r>
      <w:rPr>
        <w:rFonts w:ascii="Cambria" w:hAnsi="Cambria"/>
        <w:sz w:val="20"/>
        <w:szCs w:val="20"/>
      </w:rPr>
      <w:t xml:space="preserve">к Правилам об общих условиях проведения банковских операций </w:t>
    </w:r>
    <w:r>
      <w:rPr>
        <w:rFonts w:ascii="Cambria" w:hAnsi="Cambria"/>
        <w:sz w:val="20"/>
        <w:szCs w:val="20"/>
      </w:rPr>
      <w:cr/>
    </w:r>
    <w:r>
      <w:rPr>
        <w:rFonts w:ascii="Cambria" w:hAnsi="Cambria"/>
        <w:sz w:val="20"/>
        <w:szCs w:val="20"/>
      </w:rPr>
      <w:t>АО «Торгово-промышленный Банк Китая в г. Алматы»,</w:t>
    </w: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утвержденным Советом директоров от </w:t>
    </w:r>
    <w:r>
      <w:rPr>
        <w:rFonts w:hint="default" w:ascii="Cambria" w:hAnsi="Cambria"/>
        <w:sz w:val="20"/>
        <w:szCs w:val="20"/>
      </w:rPr>
      <w:t>08</w:t>
    </w:r>
    <w:r>
      <w:rPr>
        <w:rFonts w:ascii="Cambria" w:hAnsi="Cambria"/>
        <w:sz w:val="20"/>
        <w:szCs w:val="20"/>
      </w:rPr>
      <w:t>.</w:t>
    </w:r>
    <w:r>
      <w:rPr>
        <w:rFonts w:hint="default" w:ascii="Cambria" w:hAnsi="Cambria"/>
        <w:sz w:val="20"/>
        <w:szCs w:val="20"/>
        <w:lang w:val="en-US"/>
      </w:rPr>
      <w:t>0</w:t>
    </w:r>
    <w:r>
      <w:rPr>
        <w:rFonts w:hint="default" w:ascii="Cambria" w:hAnsi="Cambria"/>
        <w:sz w:val="20"/>
        <w:szCs w:val="20"/>
      </w:rPr>
      <w:t>8</w:t>
    </w:r>
    <w:r>
      <w:rPr>
        <w:rFonts w:ascii="Cambria" w:hAnsi="Cambria"/>
        <w:sz w:val="20"/>
        <w:szCs w:val="20"/>
      </w:rPr>
      <w:t>.20</w:t>
    </w:r>
    <w:r>
      <w:rPr>
        <w:rFonts w:hint="default" w:ascii="Cambria" w:hAnsi="Cambria"/>
        <w:sz w:val="20"/>
        <w:szCs w:val="20"/>
        <w:lang w:val="en-US"/>
      </w:rPr>
      <w:t>2</w:t>
    </w:r>
    <w:r>
      <w:rPr>
        <w:rFonts w:hint="default" w:ascii="Cambria" w:hAnsi="Cambria"/>
        <w:sz w:val="20"/>
        <w:szCs w:val="20"/>
      </w:rPr>
      <w:t>3</w:t>
    </w:r>
    <w:r>
      <w:rPr>
        <w:rFonts w:ascii="Cambria" w:hAnsi="Cambria"/>
        <w:sz w:val="20"/>
        <w:szCs w:val="20"/>
      </w:rPr>
      <w:t>г. (протокол №</w:t>
    </w:r>
    <w:r>
      <w:rPr>
        <w:rFonts w:hint="default" w:ascii="Cambria" w:hAnsi="Cambria"/>
        <w:sz w:val="20"/>
        <w:szCs w:val="20"/>
      </w:rPr>
      <w:t>6</w:t>
    </w:r>
    <w:r>
      <w:rPr>
        <w:rFonts w:ascii="Cambria" w:hAnsi="Cambria"/>
        <w:sz w:val="20"/>
        <w:szCs w:val="20"/>
      </w:rPr>
      <w:t>)</w:t>
    </w: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</w:p>
  <w:p>
    <w:pPr>
      <w:pStyle w:val="4"/>
      <w:widowControl/>
      <w:wordWrap/>
      <w:adjustRightInd/>
      <w:snapToGrid w:val="0"/>
      <w:spacing w:after="0" w:line="240" w:lineRule="auto"/>
      <w:ind w:left="0" w:leftChars="0" w:right="0" w:firstLine="0" w:firstLineChars="0"/>
      <w:jc w:val="right"/>
      <w:textAlignment w:val="auto"/>
      <w:outlineLvl w:val="9"/>
      <w:rPr>
        <w:rFonts w:ascii="Cambria" w:hAnsi="Cambr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trackRevisions w:val="1"/>
  <w:documentProtection w:enforcement="0"/>
  <w:defaultTabStop w:val="708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4302D"/>
    <w:rsid w:val="001C4870"/>
    <w:rsid w:val="001C4981"/>
    <w:rsid w:val="002A5893"/>
    <w:rsid w:val="002C6F79"/>
    <w:rsid w:val="002E5D12"/>
    <w:rsid w:val="00460D6A"/>
    <w:rsid w:val="006A72AA"/>
    <w:rsid w:val="00834691"/>
    <w:rsid w:val="009229C8"/>
    <w:rsid w:val="00D56780"/>
    <w:rsid w:val="00DF47EC"/>
    <w:rsid w:val="00EB7DC4"/>
    <w:rsid w:val="00F23C69"/>
    <w:rsid w:val="01443589"/>
    <w:rsid w:val="01C47CF5"/>
    <w:rsid w:val="04261FBF"/>
    <w:rsid w:val="04375CF4"/>
    <w:rsid w:val="05EC291D"/>
    <w:rsid w:val="073F36B0"/>
    <w:rsid w:val="07F86C58"/>
    <w:rsid w:val="09F22184"/>
    <w:rsid w:val="0A094B63"/>
    <w:rsid w:val="0A3808B1"/>
    <w:rsid w:val="0B1916F9"/>
    <w:rsid w:val="0B254BFC"/>
    <w:rsid w:val="0E5F6540"/>
    <w:rsid w:val="0E81737F"/>
    <w:rsid w:val="0F0564A1"/>
    <w:rsid w:val="10701129"/>
    <w:rsid w:val="11180692"/>
    <w:rsid w:val="115A4780"/>
    <w:rsid w:val="126A1DCE"/>
    <w:rsid w:val="12D75EB4"/>
    <w:rsid w:val="13467CAF"/>
    <w:rsid w:val="16850C51"/>
    <w:rsid w:val="18290A61"/>
    <w:rsid w:val="18DA0994"/>
    <w:rsid w:val="1AE721BE"/>
    <w:rsid w:val="1B0A3ABA"/>
    <w:rsid w:val="1D472231"/>
    <w:rsid w:val="1E034AB8"/>
    <w:rsid w:val="209B62A5"/>
    <w:rsid w:val="212B3AC1"/>
    <w:rsid w:val="233C5724"/>
    <w:rsid w:val="2415292F"/>
    <w:rsid w:val="24624C33"/>
    <w:rsid w:val="250366DB"/>
    <w:rsid w:val="250C6474"/>
    <w:rsid w:val="25141582"/>
    <w:rsid w:val="2AE01841"/>
    <w:rsid w:val="2C881546"/>
    <w:rsid w:val="2CA742AB"/>
    <w:rsid w:val="2F902F64"/>
    <w:rsid w:val="328C7AC1"/>
    <w:rsid w:val="340F3D0D"/>
    <w:rsid w:val="341C0CDF"/>
    <w:rsid w:val="34CD6330"/>
    <w:rsid w:val="38682994"/>
    <w:rsid w:val="3CA3512B"/>
    <w:rsid w:val="3DED5FD4"/>
    <w:rsid w:val="3E874137"/>
    <w:rsid w:val="3F98667E"/>
    <w:rsid w:val="3FE76BE1"/>
    <w:rsid w:val="4560621F"/>
    <w:rsid w:val="487A51C9"/>
    <w:rsid w:val="48EB1802"/>
    <w:rsid w:val="4A4C513E"/>
    <w:rsid w:val="4A96509D"/>
    <w:rsid w:val="4BC2173F"/>
    <w:rsid w:val="4BE90305"/>
    <w:rsid w:val="4C092452"/>
    <w:rsid w:val="4D2E56CE"/>
    <w:rsid w:val="4E647DBE"/>
    <w:rsid w:val="4EDE3F53"/>
    <w:rsid w:val="50BD0F51"/>
    <w:rsid w:val="51C32284"/>
    <w:rsid w:val="526623BF"/>
    <w:rsid w:val="528B653A"/>
    <w:rsid w:val="536B2DDD"/>
    <w:rsid w:val="566E25EC"/>
    <w:rsid w:val="58083994"/>
    <w:rsid w:val="5872572E"/>
    <w:rsid w:val="59A77985"/>
    <w:rsid w:val="59B726A6"/>
    <w:rsid w:val="5A235E2C"/>
    <w:rsid w:val="5A254FFF"/>
    <w:rsid w:val="5C0D6C5F"/>
    <w:rsid w:val="5D2B2842"/>
    <w:rsid w:val="5DA640FD"/>
    <w:rsid w:val="5E6E32CA"/>
    <w:rsid w:val="621C422E"/>
    <w:rsid w:val="6320657D"/>
    <w:rsid w:val="65CA6E2E"/>
    <w:rsid w:val="681A0BF7"/>
    <w:rsid w:val="711B0C0C"/>
    <w:rsid w:val="75B200D5"/>
    <w:rsid w:val="771C0A70"/>
    <w:rsid w:val="79CC524E"/>
    <w:rsid w:val="7B8D4857"/>
    <w:rsid w:val="7B9F6B69"/>
    <w:rsid w:val="7D663F03"/>
    <w:rsid w:val="7D7D3D33"/>
    <w:rsid w:val="7EE3123E"/>
    <w:rsid w:val="7F45573D"/>
    <w:rsid w:val="7F8D05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432</Characters>
  <Lines>3</Lines>
  <Paragraphs>1</Paragraphs>
  <TotalTime>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2019-07-25T03:12:00Z</dcterms:created>
  <dc:creator>Danat Muratkhanov</dc:creator>
  <cp:lastModifiedBy>hwal-anart</cp:lastModifiedBy>
  <cp:lastPrinted>2023-06-06T04:49:00Z</cp:lastPrinted>
  <dcterms:modified xsi:type="dcterms:W3CDTF">2024-02-16T03:35:46Z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1033-11.8.2.8808</vt:lpwstr>
  </property>
</Properties>
</file>