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7C" w:rsidRDefault="00F7047C" w:rsidP="00F7047C">
      <w:pPr>
        <w:tabs>
          <w:tab w:val="left" w:pos="336"/>
        </w:tabs>
        <w:rPr>
          <w:sz w:val="22"/>
          <w:szCs w:val="22"/>
        </w:rPr>
      </w:pPr>
      <w:r>
        <w:rPr>
          <w:sz w:val="22"/>
          <w:szCs w:val="22"/>
        </w:rPr>
        <w:t>04.05.2022</w:t>
      </w:r>
    </w:p>
    <w:p w:rsidR="00F7047C" w:rsidRDefault="00F7047C" w:rsidP="00F7047C">
      <w:pPr>
        <w:rPr>
          <w:rFonts w:eastAsia="Times New Roman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АйСиБиСи</w:t>
      </w:r>
      <w:proofErr w:type="spellEnd"/>
      <w:r>
        <w:rPr>
          <w:sz w:val="22"/>
          <w:szCs w:val="22"/>
        </w:rPr>
        <w:t xml:space="preserve"> Банк (АО) поступили информационные материалы от НКО АО НРД о корпоративных действиях</w:t>
      </w:r>
      <w:r w:rsidRPr="001377D3">
        <w:rPr>
          <w:rStyle w:val="10"/>
          <w:sz w:val="22"/>
          <w:szCs w:val="22"/>
        </w:rPr>
        <w:t xml:space="preserve"> </w:t>
      </w:r>
      <w:r>
        <w:rPr>
          <w:rStyle w:val="a8"/>
          <w:sz w:val="22"/>
          <w:szCs w:val="22"/>
        </w:rPr>
        <w:endnoteReference w:id="1"/>
      </w:r>
      <w:r>
        <w:rPr>
          <w:sz w:val="22"/>
          <w:szCs w:val="22"/>
        </w:rPr>
        <w:t>:</w:t>
      </w:r>
      <w:r>
        <w:rPr>
          <w:rFonts w:eastAsia="Times New Roman"/>
        </w:rPr>
        <w:t xml:space="preserve"> </w:t>
      </w:r>
    </w:p>
    <w:p w:rsidR="00000000" w:rsidRDefault="00F7047C" w:rsidP="00F7047C">
      <w:pPr>
        <w:pStyle w:val="1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(BPUT) О корпоративном действии "Досрочное погашение ценных бумаг или приобретение их эмитентом" с ценными бумагами эмитента АО "Почта России" ИНН 7724490000 (облигация 4B02-02-00005-T / ISIN RU000A0JWGV2) </w:t>
      </w:r>
    </w:p>
    <w:tbl>
      <w:tblPr>
        <w:tblW w:w="5173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1324"/>
        <w:gridCol w:w="1992"/>
        <w:gridCol w:w="697"/>
        <w:gridCol w:w="697"/>
        <w:gridCol w:w="388"/>
        <w:gridCol w:w="388"/>
        <w:gridCol w:w="388"/>
        <w:gridCol w:w="916"/>
        <w:gridCol w:w="872"/>
        <w:gridCol w:w="1788"/>
        <w:gridCol w:w="1531"/>
        <w:gridCol w:w="1483"/>
        <w:gridCol w:w="14"/>
        <w:gridCol w:w="14"/>
        <w:gridCol w:w="1031"/>
        <w:gridCol w:w="14"/>
        <w:gridCol w:w="21"/>
      </w:tblGrid>
      <w:tr w:rsidR="00000000" w:rsidTr="00F7047C">
        <w:trPr>
          <w:gridAfter w:val="4"/>
          <w:tblHeader/>
          <w:tblCellSpacing w:w="7" w:type="dxa"/>
        </w:trPr>
        <w:tc>
          <w:tcPr>
            <w:tcW w:w="0" w:type="auto"/>
            <w:gridSpan w:val="14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Реквизиты корпоративного действия</w:t>
            </w:r>
          </w:p>
        </w:tc>
      </w:tr>
      <w:tr w:rsidR="00000000" w:rsidTr="00F7047C">
        <w:trPr>
          <w:gridAfter w:val="4"/>
          <w:tblCellSpacing w:w="7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Референс</w:t>
            </w:r>
            <w:proofErr w:type="spellEnd"/>
            <w:r>
              <w:rPr>
                <w:rFonts w:eastAsia="Times New Roman"/>
              </w:rPr>
              <w:t xml:space="preserve"> корп</w:t>
            </w:r>
            <w:r>
              <w:rPr>
                <w:rFonts w:eastAsia="Times New Roman"/>
              </w:rPr>
              <w:t>оративного действия</w:t>
            </w:r>
          </w:p>
        </w:tc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411272</w:t>
            </w:r>
          </w:p>
        </w:tc>
      </w:tr>
      <w:tr w:rsidR="00000000" w:rsidTr="00F7047C">
        <w:trPr>
          <w:gridAfter w:val="4"/>
          <w:tblCellSpacing w:w="7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Код типа корпоративного действия</w:t>
            </w:r>
          </w:p>
        </w:tc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BPUT</w:t>
            </w:r>
          </w:p>
        </w:tc>
      </w:tr>
      <w:tr w:rsidR="00000000" w:rsidTr="00F7047C">
        <w:trPr>
          <w:gridAfter w:val="4"/>
          <w:tblCellSpacing w:w="7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Тип корпоративного действия</w:t>
            </w:r>
          </w:p>
        </w:tc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Досрочное погашение ценных бумаг или приобретение их эмитентом</w:t>
            </w:r>
          </w:p>
        </w:tc>
      </w:tr>
      <w:tr w:rsidR="00000000" w:rsidTr="00F7047C">
        <w:trPr>
          <w:gridAfter w:val="4"/>
          <w:tblCellSpacing w:w="7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 корпоративного действия</w:t>
            </w:r>
          </w:p>
        </w:tc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эмитентом облигаций по требованию их владельцев</w:t>
            </w:r>
          </w:p>
        </w:tc>
      </w:tr>
      <w:tr w:rsidR="00000000" w:rsidTr="00F7047C">
        <w:trPr>
          <w:gridAfter w:val="4"/>
          <w:tblCellSpacing w:w="7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Статус </w:t>
            </w:r>
            <w:r>
              <w:rPr>
                <w:rFonts w:eastAsia="Times New Roman"/>
              </w:rPr>
              <w:t>обработки</w:t>
            </w:r>
          </w:p>
        </w:tc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Полная информация</w:t>
            </w:r>
          </w:p>
        </w:tc>
      </w:tr>
      <w:tr w:rsidR="00000000" w:rsidTr="00F7047C">
        <w:trPr>
          <w:gridAfter w:val="4"/>
          <w:tblCellSpacing w:w="7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КД (план.)</w:t>
            </w:r>
          </w:p>
        </w:tc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мая 2022 г.</w:t>
            </w:r>
          </w:p>
        </w:tc>
      </w:tr>
      <w:tr w:rsidR="00000000" w:rsidTr="00F7047C">
        <w:trPr>
          <w:gridAfter w:val="4"/>
          <w:tblCellSpacing w:w="7" w:type="dxa"/>
        </w:trPr>
        <w:tc>
          <w:tcPr>
            <w:tcW w:w="0" w:type="auto"/>
            <w:gridSpan w:val="4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принятия решения о приобретении облигаций</w:t>
            </w:r>
          </w:p>
        </w:tc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17 мая 2022 г.</w:t>
            </w:r>
          </w:p>
        </w:tc>
      </w:tr>
      <w:tr w:rsidR="00000000" w:rsidTr="00F7047C">
        <w:trPr>
          <w:tblHeader/>
          <w:tblCellSpacing w:w="7" w:type="dxa"/>
        </w:trPr>
        <w:tc>
          <w:tcPr>
            <w:tcW w:w="0" w:type="auto"/>
            <w:gridSpan w:val="18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Информация о ценных бумагах</w:t>
            </w:r>
          </w:p>
        </w:tc>
      </w:tr>
      <w:tr w:rsidR="00000000" w:rsidTr="00F7047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регистрации</w:t>
            </w:r>
          </w:p>
        </w:tc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Категория</w:t>
            </w:r>
          </w:p>
        </w:tc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gridSpan w:val="5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Валюта номинала</w:t>
            </w:r>
          </w:p>
        </w:tc>
      </w:tr>
      <w:tr w:rsidR="00000000" w:rsidTr="00F7047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411272X28186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акционерное общество "Почта России"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4B02-02-00005-T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 мая 2016 г.</w:t>
            </w:r>
          </w:p>
        </w:tc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облигации </w:t>
            </w:r>
          </w:p>
        </w:tc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RU000A0JWGV2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RU000A0JWGV2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1000</w:t>
            </w:r>
          </w:p>
        </w:tc>
        <w:tc>
          <w:tcPr>
            <w:tcW w:w="0" w:type="auto"/>
            <w:gridSpan w:val="5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 w:rsidTr="00F7047C">
        <w:trPr>
          <w:gridAfter w:val="1"/>
          <w:tblHeader/>
          <w:tblCellSpacing w:w="7" w:type="dxa"/>
        </w:trPr>
        <w:tc>
          <w:tcPr>
            <w:tcW w:w="0" w:type="auto"/>
            <w:gridSpan w:val="17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Детали корпоративного действия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Способ подачи инструкций (требований)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Подача требований возможна или эмитенту (агенту эмитента), или через депозитарий без блокирования ценных бумаг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Способ удовлетворения инструкций (требований)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Удовлетворение инструкций (</w:t>
            </w:r>
            <w:r>
              <w:rPr>
                <w:rFonts w:eastAsia="Times New Roman"/>
              </w:rPr>
              <w:t>требований) по корпоративному действию единовременно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Цена приобретения/досрочного погашения от номинальной стоимости (в процентах) 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Накопленный купонный доход (НКД) 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1.58 RUB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Цена приобретения/досрочного погашения с учетом НКД</w:t>
            </w:r>
            <w:bookmarkStart w:id="0" w:name="_GoBack"/>
            <w:bookmarkEnd w:id="0"/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1001.58 RUB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Валюта платежа 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RUB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Период действия предложения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с 04 мая 2022 г. по 12 мая 2022 г.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приема инструкций (требований) по корпоративному действию, установленные инициатором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12 мая 2022 г.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 время окончания приема инструкций по кор</w:t>
            </w:r>
            <w:r>
              <w:rPr>
                <w:rFonts w:eastAsia="Times New Roman"/>
              </w:rPr>
              <w:t>поративному действию, установленные НКО АО НРД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12 мая 2022 г. 16:00</w:t>
            </w:r>
          </w:p>
        </w:tc>
      </w:tr>
      <w:tr w:rsidR="00000000" w:rsidTr="00F7047C">
        <w:trPr>
          <w:gridAfter w:val="1"/>
          <w:tblCellSpacing w:w="7" w:type="dxa"/>
        </w:trPr>
        <w:tc>
          <w:tcPr>
            <w:tcW w:w="0" w:type="auto"/>
            <w:gridSpan w:val="9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Максимальное количество облигаций, приобретаемых/погашаемых эмитентом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wordWrap w:val="0"/>
              <w:rPr>
                <w:rFonts w:eastAsia="Times New Roman"/>
              </w:rPr>
            </w:pPr>
            <w:r>
              <w:rPr>
                <w:rFonts w:eastAsia="Times New Roman"/>
              </w:rPr>
              <w:t>Любое количество</w:t>
            </w:r>
          </w:p>
        </w:tc>
      </w:tr>
      <w:tr w:rsidR="00000000" w:rsidTr="00F7047C">
        <w:trPr>
          <w:gridAfter w:val="3"/>
          <w:tblHeader/>
          <w:tblCellSpacing w:w="7" w:type="dxa"/>
        </w:trPr>
        <w:tc>
          <w:tcPr>
            <w:tcW w:w="0" w:type="auto"/>
            <w:gridSpan w:val="15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Связанные корпоративные действия</w:t>
            </w:r>
          </w:p>
        </w:tc>
      </w:tr>
      <w:tr w:rsidR="00000000" w:rsidTr="00F7047C">
        <w:trPr>
          <w:gridAfter w:val="3"/>
          <w:tblHeader/>
          <w:tblCellSpacing w:w="7" w:type="dxa"/>
        </w:trPr>
        <w:tc>
          <w:tcPr>
            <w:tcW w:w="0" w:type="auto"/>
            <w:gridSpan w:val="7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Код типа КД</w:t>
            </w:r>
          </w:p>
        </w:tc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Референс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КД</w:t>
            </w:r>
          </w:p>
        </w:tc>
      </w:tr>
      <w:tr w:rsidR="00000000" w:rsidTr="00F7047C">
        <w:trPr>
          <w:gridAfter w:val="2"/>
          <w:tblCellSpacing w:w="7" w:type="dxa"/>
        </w:trPr>
        <w:tc>
          <w:tcPr>
            <w:tcW w:w="0" w:type="auto"/>
            <w:gridSpan w:val="7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INTR</w:t>
            </w:r>
          </w:p>
        </w:tc>
        <w:tc>
          <w:tcPr>
            <w:tcW w:w="0" w:type="auto"/>
            <w:gridSpan w:val="8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232530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</w:p>
        </w:tc>
      </w:tr>
      <w:tr w:rsidR="00000000" w:rsidTr="00F7047C">
        <w:trPr>
          <w:gridAfter w:val="2"/>
          <w:tblHeader/>
          <w:tblCellSpacing w:w="7" w:type="dxa"/>
        </w:trPr>
        <w:tc>
          <w:tcPr>
            <w:tcW w:w="0" w:type="auto"/>
            <w:gridSpan w:val="16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Допустимые способы расчетов</w:t>
            </w:r>
          </w:p>
        </w:tc>
      </w:tr>
      <w:tr w:rsidR="00000000" w:rsidTr="00F7047C">
        <w:trPr>
          <w:gridAfter w:val="2"/>
          <w:tblHeader/>
          <w:tblCellSpacing w:w="7" w:type="dxa"/>
        </w:trPr>
        <w:tc>
          <w:tcPr>
            <w:tcW w:w="0" w:type="auto"/>
            <w:gridSpan w:val="6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Способ расчета</w:t>
            </w:r>
          </w:p>
        </w:tc>
        <w:tc>
          <w:tcPr>
            <w:tcW w:w="0" w:type="auto"/>
            <w:gridSpan w:val="10"/>
            <w:shd w:val="clear" w:color="auto" w:fill="BBBBBB"/>
            <w:vAlign w:val="center"/>
            <w:hideMark/>
          </w:tcPr>
          <w:p w:rsidR="00000000" w:rsidRDefault="00F7047C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Описание порядка расчетов</w:t>
            </w:r>
          </w:p>
        </w:tc>
      </w:tr>
      <w:tr w:rsidR="00000000" w:rsidTr="00F7047C">
        <w:trPr>
          <w:gridAfter w:val="2"/>
          <w:tblCellSpacing w:w="7" w:type="dxa"/>
        </w:trPr>
        <w:tc>
          <w:tcPr>
            <w:tcW w:w="0" w:type="auto"/>
            <w:gridSpan w:val="6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Расчеты на Бирже</w:t>
            </w:r>
          </w:p>
        </w:tc>
        <w:tc>
          <w:tcPr>
            <w:tcW w:w="0" w:type="auto"/>
            <w:gridSpan w:val="10"/>
            <w:shd w:val="clear" w:color="auto" w:fill="EEEEEE"/>
            <w:vAlign w:val="center"/>
            <w:hideMark/>
          </w:tcPr>
          <w:p w:rsidR="00000000" w:rsidRDefault="00F7047C">
            <w:pPr>
              <w:rPr>
                <w:rFonts w:eastAsia="Times New Roman"/>
              </w:rPr>
            </w:pPr>
          </w:p>
        </w:tc>
      </w:tr>
    </w:tbl>
    <w:p w:rsidR="00000000" w:rsidRDefault="00F7047C">
      <w:pPr>
        <w:pStyle w:val="a3"/>
      </w:pPr>
      <w:r>
        <w:t xml:space="preserve">Настоящим сообщаем о получении из </w:t>
      </w:r>
      <w:r>
        <w:t>НКО АО НРД информации, предоставляемой эмитентом ценных бумаг в соответствии с Положением ЦБ РФ N 751-П от 11 января 2021 года "О п</w:t>
      </w:r>
      <w:r>
        <w:t>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</w:t>
      </w:r>
      <w:r>
        <w:t xml:space="preserve">и" </w:t>
      </w:r>
    </w:p>
    <w:p w:rsidR="00000000" w:rsidRDefault="00F7047C">
      <w:pPr>
        <w:pStyle w:val="a3"/>
      </w:pPr>
      <w:r>
        <w:t xml:space="preserve">15.4 Информация о возникновении у владельцев облигаций права требовать от эмитента приобретения принадлежащих им облигаций </w:t>
      </w:r>
    </w:p>
    <w:p w:rsidR="00000000" w:rsidRDefault="00F7047C">
      <w:pPr>
        <w:pStyle w:val="a3"/>
      </w:pPr>
      <w:r>
        <w:t xml:space="preserve">Приложение 1: </w:t>
      </w:r>
      <w:hyperlink r:id="rId6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sectPr w:rsidR="00000000" w:rsidSect="00F704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7C" w:rsidRDefault="00F7047C" w:rsidP="00F7047C">
      <w:r>
        <w:separator/>
      </w:r>
    </w:p>
  </w:endnote>
  <w:endnote w:type="continuationSeparator" w:id="0">
    <w:p w:rsidR="00F7047C" w:rsidRDefault="00F7047C" w:rsidP="00F7047C">
      <w:r>
        <w:continuationSeparator/>
      </w:r>
    </w:p>
  </w:endnote>
  <w:endnote w:id="1">
    <w:p w:rsidR="00F7047C" w:rsidRDefault="00F7047C" w:rsidP="00F7047C">
      <w:pPr>
        <w:pStyle w:val="a6"/>
        <w:rPr>
          <w:i/>
          <w:sz w:val="16"/>
          <w:szCs w:val="16"/>
        </w:rPr>
      </w:pPr>
      <w:r>
        <w:rPr>
          <w:rStyle w:val="a8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АйСиБиСи</w:t>
      </w:r>
      <w:proofErr w:type="spellEnd"/>
      <w:r>
        <w:rPr>
          <w:i/>
          <w:sz w:val="16"/>
          <w:szCs w:val="16"/>
        </w:rPr>
        <w:t xml:space="preserve">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7C" w:rsidRDefault="00F7047C" w:rsidP="00F7047C">
      <w:r>
        <w:separator/>
      </w:r>
    </w:p>
  </w:footnote>
  <w:footnote w:type="continuationSeparator" w:id="0">
    <w:p w:rsidR="00F7047C" w:rsidRDefault="00F7047C" w:rsidP="00F70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54721"/>
    <w:rsid w:val="00254721"/>
    <w:rsid w:val="00F7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exslt.org/common"/>
  <w:attachedSchema w:val="http://www.itglobal.ru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58D5C4"/>
  <w15:chartTrackingRefBased/>
  <w15:docId w15:val="{143F0BFC-BCED-4DC8-A931-99B52A3D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endnote text"/>
    <w:basedOn w:val="a"/>
    <w:link w:val="a7"/>
    <w:uiPriority w:val="99"/>
    <w:semiHidden/>
    <w:unhideWhenUsed/>
    <w:rsid w:val="00F7047C"/>
    <w:rPr>
      <w:rFonts w:eastAsia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7047C"/>
  </w:style>
  <w:style w:type="character" w:styleId="a8">
    <w:name w:val="endnote reference"/>
    <w:basedOn w:val="a0"/>
    <w:uiPriority w:val="99"/>
    <w:semiHidden/>
    <w:unhideWhenUsed/>
    <w:rsid w:val="00F70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9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206eb9a92829412e81588b287c2eb06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JGGudilina</dc:creator>
  <cp:keywords/>
  <dc:description/>
  <cp:lastModifiedBy>JGGudilina</cp:lastModifiedBy>
  <cp:revision>2</cp:revision>
  <dcterms:created xsi:type="dcterms:W3CDTF">2022-05-04T13:18:00Z</dcterms:created>
  <dcterms:modified xsi:type="dcterms:W3CDTF">2022-05-04T13:18:00Z</dcterms:modified>
</cp:coreProperties>
</file>