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60D" w:rsidRDefault="00BC4A1D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5.3、产品投资前十项资产明细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332"/>
        <w:gridCol w:w="2856"/>
        <w:gridCol w:w="2629"/>
        <w:gridCol w:w="1476"/>
      </w:tblGrid>
      <w:tr w:rsidR="0041660D" w:rsidTr="00C13CB4">
        <w:tc>
          <w:tcPr>
            <w:tcW w:w="803" w:type="pct"/>
            <w:vAlign w:val="center"/>
          </w:tcPr>
          <w:p w:rsidR="0041660D" w:rsidRDefault="00BC4A1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722" w:type="pct"/>
            <w:vAlign w:val="center"/>
          </w:tcPr>
          <w:p w:rsidR="0041660D" w:rsidRDefault="00BC4A1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资产名称</w:t>
            </w:r>
          </w:p>
        </w:tc>
        <w:tc>
          <w:tcPr>
            <w:tcW w:w="1585" w:type="pct"/>
            <w:vAlign w:val="center"/>
          </w:tcPr>
          <w:p w:rsidR="0041660D" w:rsidRDefault="00BC4A1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</w:t>
            </w:r>
          </w:p>
        </w:tc>
        <w:tc>
          <w:tcPr>
            <w:tcW w:w="890" w:type="pct"/>
            <w:vAlign w:val="center"/>
          </w:tcPr>
          <w:p w:rsidR="0041660D" w:rsidRDefault="00BC4A1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规模占比（%）</w:t>
            </w:r>
          </w:p>
        </w:tc>
      </w:tr>
      <w:tr w:rsidR="00B749A4" w:rsidTr="00C13CB4">
        <w:tc>
          <w:tcPr>
            <w:tcW w:w="803" w:type="pct"/>
            <w:vAlign w:val="center"/>
          </w:tcPr>
          <w:p w:rsidR="00B749A4" w:rsidRDefault="00B749A4" w:rsidP="00B749A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722" w:type="pct"/>
            <w:vAlign w:val="center"/>
          </w:tcPr>
          <w:p w:rsidR="00B749A4" w:rsidRDefault="00B749A4" w:rsidP="00B749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</w:rPr>
              <w:t>平安银行</w:t>
            </w:r>
            <w:r>
              <w:rPr>
                <w:rFonts w:hint="eastAsia"/>
                <w:color w:val="000000"/>
                <w:sz w:val="22"/>
                <w:szCs w:val="22"/>
              </w:rPr>
              <w:t>CD030</w:t>
            </w:r>
          </w:p>
        </w:tc>
        <w:tc>
          <w:tcPr>
            <w:tcW w:w="1585" w:type="pct"/>
            <w:vAlign w:val="center"/>
          </w:tcPr>
          <w:p w:rsidR="00B749A4" w:rsidRDefault="00B749A4" w:rsidP="00B749A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1957271.50 </w:t>
            </w:r>
          </w:p>
        </w:tc>
        <w:tc>
          <w:tcPr>
            <w:tcW w:w="890" w:type="pct"/>
            <w:vAlign w:val="center"/>
          </w:tcPr>
          <w:p w:rsidR="00B749A4" w:rsidRDefault="00B749A4" w:rsidP="00B749A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0.82%</w:t>
            </w:r>
          </w:p>
        </w:tc>
      </w:tr>
      <w:tr w:rsidR="00B749A4" w:rsidTr="00C13CB4">
        <w:tc>
          <w:tcPr>
            <w:tcW w:w="803" w:type="pct"/>
            <w:vAlign w:val="center"/>
          </w:tcPr>
          <w:p w:rsidR="00B749A4" w:rsidRDefault="00B749A4" w:rsidP="00B749A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722" w:type="pct"/>
            <w:vAlign w:val="center"/>
          </w:tcPr>
          <w:p w:rsidR="00B749A4" w:rsidRDefault="00B749A4" w:rsidP="00B749A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汇鑫</w:t>
            </w:r>
            <w:r>
              <w:rPr>
                <w:rFonts w:hint="eastAsia"/>
                <w:color w:val="000000"/>
                <w:sz w:val="22"/>
                <w:szCs w:val="22"/>
              </w:rPr>
              <w:t>ABN001</w:t>
            </w:r>
            <w:r>
              <w:rPr>
                <w:rFonts w:hint="eastAsia"/>
                <w:color w:val="000000"/>
                <w:sz w:val="22"/>
                <w:szCs w:val="22"/>
              </w:rPr>
              <w:t>优先</w:t>
            </w:r>
          </w:p>
        </w:tc>
        <w:tc>
          <w:tcPr>
            <w:tcW w:w="1585" w:type="pct"/>
            <w:vAlign w:val="center"/>
          </w:tcPr>
          <w:p w:rsidR="00B749A4" w:rsidRDefault="00B749A4" w:rsidP="00B749A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1885123.91 </w:t>
            </w:r>
          </w:p>
        </w:tc>
        <w:tc>
          <w:tcPr>
            <w:tcW w:w="890" w:type="pct"/>
            <w:vAlign w:val="center"/>
          </w:tcPr>
          <w:p w:rsidR="00B749A4" w:rsidRDefault="00B749A4" w:rsidP="00B749A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0.79%</w:t>
            </w:r>
          </w:p>
        </w:tc>
      </w:tr>
      <w:tr w:rsidR="00B749A4" w:rsidTr="00C13CB4">
        <w:tc>
          <w:tcPr>
            <w:tcW w:w="803" w:type="pct"/>
            <w:vAlign w:val="center"/>
          </w:tcPr>
          <w:p w:rsidR="00B749A4" w:rsidRDefault="00B749A4" w:rsidP="00B749A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722" w:type="pct"/>
            <w:vAlign w:val="center"/>
          </w:tcPr>
          <w:p w:rsidR="00B749A4" w:rsidRDefault="00B749A4" w:rsidP="00B749A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农业银行二级</w:t>
            </w:r>
            <w:r>
              <w:rPr>
                <w:rFonts w:hint="eastAsia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5" w:type="pct"/>
            <w:vAlign w:val="center"/>
          </w:tcPr>
          <w:p w:rsidR="00B749A4" w:rsidRDefault="00B749A4" w:rsidP="00B749A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1864152.00 </w:t>
            </w:r>
          </w:p>
        </w:tc>
        <w:tc>
          <w:tcPr>
            <w:tcW w:w="890" w:type="pct"/>
            <w:vAlign w:val="center"/>
          </w:tcPr>
          <w:p w:rsidR="00B749A4" w:rsidRDefault="00B749A4" w:rsidP="00B749A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0.78%</w:t>
            </w:r>
          </w:p>
        </w:tc>
      </w:tr>
      <w:tr w:rsidR="00B749A4" w:rsidTr="00C13CB4">
        <w:tc>
          <w:tcPr>
            <w:tcW w:w="803" w:type="pct"/>
            <w:vAlign w:val="center"/>
          </w:tcPr>
          <w:p w:rsidR="00B749A4" w:rsidRDefault="00B749A4" w:rsidP="00B749A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722" w:type="pct"/>
            <w:vAlign w:val="center"/>
          </w:tcPr>
          <w:p w:rsidR="00B749A4" w:rsidRDefault="00B749A4" w:rsidP="00B749A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浦发银行</w:t>
            </w:r>
            <w:r>
              <w:rPr>
                <w:rFonts w:hint="eastAsia"/>
                <w:color w:val="000000"/>
                <w:sz w:val="22"/>
                <w:szCs w:val="22"/>
              </w:rPr>
              <w:t>CD299</w:t>
            </w:r>
          </w:p>
        </w:tc>
        <w:tc>
          <w:tcPr>
            <w:tcW w:w="1585" w:type="pct"/>
            <w:vAlign w:val="center"/>
          </w:tcPr>
          <w:p w:rsidR="00B749A4" w:rsidRDefault="00B749A4" w:rsidP="00B749A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1859745.00 </w:t>
            </w:r>
          </w:p>
        </w:tc>
        <w:tc>
          <w:tcPr>
            <w:tcW w:w="890" w:type="pct"/>
            <w:vAlign w:val="center"/>
          </w:tcPr>
          <w:p w:rsidR="00B749A4" w:rsidRDefault="00B749A4" w:rsidP="00B749A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0.78%</w:t>
            </w:r>
          </w:p>
        </w:tc>
      </w:tr>
      <w:tr w:rsidR="00B749A4" w:rsidTr="00C13CB4">
        <w:tc>
          <w:tcPr>
            <w:tcW w:w="803" w:type="pct"/>
            <w:vAlign w:val="center"/>
          </w:tcPr>
          <w:p w:rsidR="00B749A4" w:rsidRDefault="00B749A4" w:rsidP="00B749A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722" w:type="pct"/>
            <w:vAlign w:val="center"/>
          </w:tcPr>
          <w:p w:rsidR="00B749A4" w:rsidRDefault="00B749A4" w:rsidP="00B749A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中交建</w:t>
            </w:r>
            <w:r>
              <w:rPr>
                <w:rFonts w:hint="eastAsia"/>
                <w:color w:val="000000"/>
                <w:sz w:val="22"/>
                <w:szCs w:val="22"/>
              </w:rPr>
              <w:t>MTN004</w:t>
            </w:r>
          </w:p>
        </w:tc>
        <w:tc>
          <w:tcPr>
            <w:tcW w:w="1585" w:type="pct"/>
            <w:vAlign w:val="center"/>
          </w:tcPr>
          <w:p w:rsidR="00B749A4" w:rsidRDefault="00B749A4" w:rsidP="00B749A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1781713.22 </w:t>
            </w:r>
          </w:p>
        </w:tc>
        <w:tc>
          <w:tcPr>
            <w:tcW w:w="890" w:type="pct"/>
            <w:vAlign w:val="center"/>
          </w:tcPr>
          <w:p w:rsidR="00B749A4" w:rsidRDefault="00B749A4" w:rsidP="00B749A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0.75%</w:t>
            </w:r>
          </w:p>
        </w:tc>
      </w:tr>
      <w:tr w:rsidR="00B749A4" w:rsidTr="00C13CB4">
        <w:tc>
          <w:tcPr>
            <w:tcW w:w="803" w:type="pct"/>
            <w:vAlign w:val="center"/>
          </w:tcPr>
          <w:p w:rsidR="00B749A4" w:rsidRDefault="00B749A4" w:rsidP="00B749A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722" w:type="pct"/>
            <w:vAlign w:val="center"/>
          </w:tcPr>
          <w:p w:rsidR="00B749A4" w:rsidRDefault="00B749A4" w:rsidP="00B749A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铁建</w:t>
            </w:r>
            <w:r>
              <w:rPr>
                <w:rFonts w:hint="eastAsia"/>
                <w:color w:val="000000"/>
                <w:sz w:val="22"/>
                <w:szCs w:val="22"/>
              </w:rPr>
              <w:t>Y5</w:t>
            </w:r>
          </w:p>
        </w:tc>
        <w:tc>
          <w:tcPr>
            <w:tcW w:w="1585" w:type="pct"/>
            <w:vAlign w:val="center"/>
          </w:tcPr>
          <w:p w:rsidR="00B749A4" w:rsidRDefault="00B749A4" w:rsidP="00B749A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1527414.71 </w:t>
            </w:r>
          </w:p>
        </w:tc>
        <w:tc>
          <w:tcPr>
            <w:tcW w:w="890" w:type="pct"/>
            <w:vAlign w:val="center"/>
          </w:tcPr>
          <w:p w:rsidR="00B749A4" w:rsidRDefault="00B749A4" w:rsidP="00B749A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0.64%</w:t>
            </w:r>
          </w:p>
        </w:tc>
      </w:tr>
      <w:tr w:rsidR="00B749A4" w:rsidTr="00C13CB4">
        <w:tc>
          <w:tcPr>
            <w:tcW w:w="803" w:type="pct"/>
            <w:vAlign w:val="center"/>
          </w:tcPr>
          <w:p w:rsidR="00B749A4" w:rsidRDefault="00B749A4" w:rsidP="00B749A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722" w:type="pct"/>
            <w:vAlign w:val="center"/>
          </w:tcPr>
          <w:p w:rsidR="00B749A4" w:rsidRDefault="00B749A4" w:rsidP="00B749A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</w:rPr>
              <w:t>川发展</w:t>
            </w:r>
            <w:r>
              <w:rPr>
                <w:rFonts w:hint="eastAsia"/>
                <w:color w:val="000000"/>
                <w:sz w:val="22"/>
                <w:szCs w:val="22"/>
              </w:rPr>
              <w:t>ABN001</w:t>
            </w:r>
            <w:r>
              <w:rPr>
                <w:rFonts w:hint="eastAsia"/>
                <w:color w:val="000000"/>
                <w:sz w:val="22"/>
                <w:szCs w:val="22"/>
              </w:rPr>
              <w:t>优先</w:t>
            </w:r>
          </w:p>
        </w:tc>
        <w:tc>
          <w:tcPr>
            <w:tcW w:w="1585" w:type="pct"/>
            <w:vAlign w:val="center"/>
          </w:tcPr>
          <w:p w:rsidR="00B749A4" w:rsidRDefault="00B749A4" w:rsidP="00B749A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1515092.00 </w:t>
            </w:r>
          </w:p>
        </w:tc>
        <w:tc>
          <w:tcPr>
            <w:tcW w:w="890" w:type="pct"/>
            <w:vAlign w:val="center"/>
          </w:tcPr>
          <w:p w:rsidR="00B749A4" w:rsidRDefault="00B749A4" w:rsidP="00B749A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0.64%</w:t>
            </w:r>
          </w:p>
        </w:tc>
      </w:tr>
      <w:tr w:rsidR="00B749A4" w:rsidTr="00C13CB4">
        <w:tc>
          <w:tcPr>
            <w:tcW w:w="803" w:type="pct"/>
            <w:vAlign w:val="center"/>
          </w:tcPr>
          <w:p w:rsidR="00B749A4" w:rsidRDefault="00B749A4" w:rsidP="00B749A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722" w:type="pct"/>
            <w:vAlign w:val="center"/>
          </w:tcPr>
          <w:p w:rsidR="00B749A4" w:rsidRDefault="00B749A4" w:rsidP="00B749A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</w:rPr>
              <w:t>兴业银行</w:t>
            </w:r>
            <w:r>
              <w:rPr>
                <w:rFonts w:hint="eastAsia"/>
                <w:color w:val="000000"/>
                <w:sz w:val="22"/>
                <w:szCs w:val="22"/>
              </w:rPr>
              <w:t>CD057</w:t>
            </w:r>
          </w:p>
        </w:tc>
        <w:tc>
          <w:tcPr>
            <w:tcW w:w="1585" w:type="pct"/>
            <w:vAlign w:val="center"/>
          </w:tcPr>
          <w:p w:rsidR="00B749A4" w:rsidRDefault="00B749A4" w:rsidP="00B749A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1480853.00 </w:t>
            </w:r>
          </w:p>
        </w:tc>
        <w:tc>
          <w:tcPr>
            <w:tcW w:w="890" w:type="pct"/>
            <w:vAlign w:val="center"/>
          </w:tcPr>
          <w:p w:rsidR="00B749A4" w:rsidRDefault="00B749A4" w:rsidP="00B749A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0.62%</w:t>
            </w:r>
          </w:p>
        </w:tc>
      </w:tr>
      <w:tr w:rsidR="00B749A4" w:rsidTr="00C13CB4">
        <w:tc>
          <w:tcPr>
            <w:tcW w:w="803" w:type="pct"/>
            <w:vAlign w:val="center"/>
          </w:tcPr>
          <w:p w:rsidR="00B749A4" w:rsidRDefault="00B749A4" w:rsidP="00B749A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722" w:type="pct"/>
            <w:vAlign w:val="center"/>
          </w:tcPr>
          <w:p w:rsidR="00B749A4" w:rsidRDefault="00B749A4" w:rsidP="00B749A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民生银行二级</w:t>
            </w:r>
            <w:r>
              <w:rPr>
                <w:rFonts w:hint="eastAsia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5" w:type="pct"/>
            <w:vAlign w:val="center"/>
          </w:tcPr>
          <w:p w:rsidR="00B749A4" w:rsidRDefault="00B749A4" w:rsidP="00B749A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1296604.35 </w:t>
            </w:r>
          </w:p>
        </w:tc>
        <w:tc>
          <w:tcPr>
            <w:tcW w:w="890" w:type="pct"/>
            <w:vAlign w:val="center"/>
          </w:tcPr>
          <w:p w:rsidR="00B749A4" w:rsidRDefault="00B749A4" w:rsidP="00B749A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0.55%</w:t>
            </w:r>
          </w:p>
        </w:tc>
      </w:tr>
      <w:tr w:rsidR="00B749A4" w:rsidTr="00C13CB4">
        <w:tc>
          <w:tcPr>
            <w:tcW w:w="803" w:type="pct"/>
            <w:vAlign w:val="center"/>
          </w:tcPr>
          <w:p w:rsidR="00B749A4" w:rsidRDefault="00B749A4" w:rsidP="00B749A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722" w:type="pct"/>
            <w:vAlign w:val="center"/>
          </w:tcPr>
          <w:p w:rsidR="00B749A4" w:rsidRDefault="00B749A4" w:rsidP="00B749A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平安银行二级</w:t>
            </w:r>
          </w:p>
        </w:tc>
        <w:tc>
          <w:tcPr>
            <w:tcW w:w="1585" w:type="pct"/>
            <w:vAlign w:val="center"/>
          </w:tcPr>
          <w:p w:rsidR="00B749A4" w:rsidRDefault="00B749A4" w:rsidP="00B749A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1287341.00 </w:t>
            </w:r>
          </w:p>
        </w:tc>
        <w:tc>
          <w:tcPr>
            <w:tcW w:w="890" w:type="pct"/>
            <w:vAlign w:val="center"/>
          </w:tcPr>
          <w:p w:rsidR="00B749A4" w:rsidRDefault="00B749A4" w:rsidP="00B749A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0.54%</w:t>
            </w:r>
          </w:p>
        </w:tc>
      </w:tr>
    </w:tbl>
    <w:p w:rsidR="0041660D" w:rsidRDefault="00BC4A1D">
      <w:r>
        <w:rPr>
          <w:rFonts w:hint="eastAsia"/>
        </w:rPr>
        <w:t>注：本表列示穿透后投资规模占比较高的前十项资产，不含现金及活期存款、</w:t>
      </w:r>
      <w:r>
        <w:rPr>
          <w:rFonts w:hint="eastAsia"/>
        </w:rPr>
        <w:t>7</w:t>
      </w:r>
      <w:r>
        <w:rPr>
          <w:rFonts w:hint="eastAsia"/>
        </w:rPr>
        <w:t>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p w:rsidR="00F16099" w:rsidRDefault="00F16099"/>
    <w:p w:rsidR="00F16099" w:rsidRPr="00F16099" w:rsidRDefault="00F16099" w:rsidP="00F16099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 w:rsidRPr="00F16099">
        <w:rPr>
          <w:rFonts w:ascii="宋体" w:eastAsia="宋体" w:hAnsi="宋体" w:cs="宋体"/>
          <w:b/>
          <w:bCs/>
          <w:sz w:val="24"/>
        </w:rPr>
        <w:t>7</w:t>
      </w:r>
      <w:r w:rsidRPr="00F16099">
        <w:rPr>
          <w:rFonts w:ascii="宋体" w:eastAsia="宋体" w:hAnsi="宋体" w:cs="宋体" w:hint="eastAsia"/>
          <w:b/>
          <w:bCs/>
          <w:sz w:val="24"/>
        </w:rPr>
        <w:t>.1 关联交易</w:t>
      </w:r>
    </w:p>
    <w:p w:rsidR="00F16099" w:rsidRPr="00F16099" w:rsidRDefault="00F16099" w:rsidP="00F16099">
      <w:pPr>
        <w:widowControl/>
        <w:rPr>
          <w:rFonts w:ascii="等线" w:eastAsia="等线" w:hAnsi="等线" w:cs="宋体"/>
          <w:color w:val="000000"/>
          <w:kern w:val="0"/>
          <w:sz w:val="22"/>
          <w:szCs w:val="22"/>
        </w:rPr>
      </w:pPr>
      <w:r w:rsidRPr="00F16099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报告期末持有中国工商银行承</w:t>
      </w:r>
      <w:bookmarkStart w:id="0" w:name="_GoBack"/>
      <w:bookmarkEnd w:id="0"/>
      <w:r w:rsidRPr="00F16099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销的17民生银行二级01(证券代码：1728016.IB）,持仓数量为674810.8,期末公允价格为104.18，标的资产类别为债券;报告期末持有中国工商银行承销的17民生银行二级01(证券代码：1728016.IB）,持仓数量为275188.2,期末公允价格为104.18，标的资产类别为债券;报告期末持有中国工商银行承销的17民生银行二级02(证券代码：1728023.IB）,持仓数量为478588.2,期末公允价格为103.61，标的资产类别为债券;报告期末持有中国工商银行承销的17民生银行二级02(证券代码：1728023.IB）,持仓数量为624824.9,期末公允价格为103.61，标的资产类别为债券;报告期末持有中国工商银行承销的19光穗节能ABN001优先(证券代码：081900685.IB）,持仓数量为371512.4,期末公允价格为100.98，标的资产类别为债券;报告期末持有中国工商银行承销的19交通银行二级01(证券代码：1928019.IB）,持仓数量为837529.3,期末公允价格为106.22，标的资产类别为债券;报告期末持有中国工商银行承销的19京城投资ABN001优(证券代码：081900537.IB）,持仓数量为36348.09,期末公允价格为99.66，标的资产类别为债券;报告期末持有中国工商银行承销的19民生银行二级01(证券代码：1928002.IB）,持仓数量为1249650,期末公允价格为103.76，标的资产类别为债券;报告期末持有中国工商银行承销的19平安银行二级(证券代码：1928010.IB）,持仓数量为1237764,期末公允价格为104.01，标的资产类别为债券;报告期末持有中国工商银行承销的19中交建MTN004(证券代码：101901706.IB）,持仓数量为1732870,期末公允价格为102.82，标的资产类别为债券;报告期末持有中国工商银行承销的20川交投MTN002(证券代码：102002298.IB）,持仓数量为74265.86,期末公允价格为105.23，标的资产类别为债券;报告期末持有中国工商银行承销的20光穗节能ABN001优先(证券代码：082000525.IB）,持仓数量为156369,期末公允价格为100.48，标的资产类别为债券;报告期末持有中国工商银行承销的20光穗节能ABN001优先(证券代码：082000525.IB）,持仓数量为609087.9,期末公允价格为100.48，标的资产类别为债券;报告期末持有中国工商银行承销的20光穗节能ABN002优先(证券代码：082000934.IB）,</w:t>
      </w:r>
      <w:r w:rsidRPr="00F16099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lastRenderedPageBreak/>
        <w:t>持仓数量为497761,期末公允价格为101.6，标的资产类别为债券;报告期末持有中国工商银行承销的20光穗节能ABN003优先(证券代码：082001055.IB）,持仓数量为619568.9,期末公允价格为101.9，标的资产类别为债券;报告期末持有中国工商银行承销的20光穗南电ABN001优先(证券代码：082001001.IB）,持仓数量为993287.9,期末公允价格为101.66，标的资产类别为债券;报告期末持有中国工商银行承销的20民生银行二级(证券代码：2028022.IB）,持仓数量为239294.1,期末公允价格为100.29，标的资产类别为债券;报告期末持有中国工商银行承销的20民生银行二级(证券代码：2028022.IB）,持仓数量为999719.8,期末公允价格为100.29，标的资产类别为债券;报告期末持有中国工商银行承销的20平安租赁PPN002(证券代码：032000152.IB）,持仓数量为174951,期末公允价格为101.69，标的资产类别为债券;报告期末持有中国工商银行承销的20平安租赁PPN002(证券代码：032000152.IB）,持仓数量为247552.9,期末公允价格为101.69，标的资产类别为债券;报告期末持有中国工商银行承销的20首钢MTN005(证券代码：102001475.IB）,持仓数量为119647,期末公允价格为105.47，标的资产类别为债券;报告期末持有中国工商银行承销的20中电国际MTN001(证券代码：102002087.IB）,持仓数量为335011.7,期末公允价格为104.91，标的资产类别为债券;报告期末持有中国工商银行承销的20中国银行二级01(证券代码：2028038.IB）,持仓数量为24755.29,期末公允价格为106.56，标的资产类别为债券;报告期末持有中国工商银行承销的20中建七局(疫情防控债)MTN001(证券代码：102000508.IB）,持仓数量为420839.9,期末公允价格为101.74，标的资产类别为债券;报告期末持有中国工商银行承销的20中建七局(疫情防控债)MTN001(证券代码：102000508.IB）,持仓数量为406800,期末公允价格为101.74，标的资产类别为债券;报告期末持有中国工商银行承销的20中建三局MTN001(证券代码：102002190.IB）,持仓数量为693148,期末公允价格为105.29，标的资产类别为债券;报告期末持有中国工商银行承销的20中建三局MTN001(证券代码：102002190.IB）,持仓数量为311082.3,期末公允价格为105.29，标的资产类别为债券;报告期末持有中国工商银行承销的20中交四航MTN001(证券代码：102000682.IB）,持仓数量为119647,期末公允价格为101.26，标的资产类别为债券;报告期末持有中国工商银行承销的20中铁建投MTN001(证券代码：102002257.IB）,持仓数量为358941.1,期末公允价格为103.41，标的资产类别为债券;报告期末持有中国工商银行承销的21大唐集MTN006(证券代码：102102138.IB）,持仓数量为495105.7,期末公允价格为103.6，标的资产类别为债券;报告期末持有中国工商银行承销的21德宝天元之信3优先_bc(证券代码：2189418.IB）,持仓数量为119698.8,期末公允价格为100.66，标的资产类别为债券;报告期末持有中国工商银行承销的21峨乐旅集MTN001(证券代码：102101742.IB）,持仓数量为470350.4,期末公允价格为105.07，标的资产类别为债券;报告期末持有中国工商银行承销的21港兴港投MTN001(证券代码：102100746.IB）,持仓数量为495105.7,期末公允价格为102.7，标的资产类别为债券;报告期末持有中国工商银行承销的21光穗华电ABN001优先(证券代码：082100277.IB）,持仓数量为1248266,期末公允价格为101.64，标的资产类别为债券;报告期末持有中国工商银行承销的21光穗华电ABN002优先(证券代码：082100802.IB）,持仓数量为626326.4,期末公允价格为100.77，标的资产类别为债券;报告期末持有中国工商银行承销的21华侨城MTN005(证券代码：102102167.IB）,持仓数量为544616.3,期末公允价格为103.96，标的资产类别为债券;报告期末持有中国工商银行承销的21金地MTN005(证券代码：102101091.IB）,持仓数量为371329.3,期末公允价格为98.14，标的资产类别为债券;报告期末持有中国工商银行承销的21静安置业MTN002(证券代码：102102201.IB）,持仓数量为148531.7,期末公允价格为103.3，标的资产类别为债券;报告期末持有中国工商银行承销的21聚盈京能ABN001优先(证券代</w:t>
      </w:r>
      <w:r w:rsidRPr="00F16099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lastRenderedPageBreak/>
        <w:t>码：082101014.IB）,持仓数量为498641,期末公允价格为101.12，标的资产类别为债券;报告期末持有中国工商银行承销的21人才安居MTN002(证券代码：102102212.IB）,持仓数量为123776.4,期末公允价格为102.78，标的资产类别为债券;报告期末持有中国工商银行承销的21山东高速ABN001优先(证券代码：082100574.IB）,持仓数量为1239000,期末公允价格为101.8，标的资产类别为债券;报告期末持有中国工商银行承销的21水电五局MTN001(证券代码：102100857.IB）,持仓数量为569371.6,期末公允价格为102.12，标的资产类别为债券;报告期末持有中国工商银行承销的21铁四院MTN001(证券代码：102100236.IB）,持仓数量为297063.4,期末公允价格为103.8，标的资产类别为债券;报告期末持有中国工商银行承销的21希望六和MTN001（乡村振兴）(证券代码：102100490.IB）,持仓数量为299117.6,期末公允价格为97.4，标的资产类别为债券;报告期末持有中国工商银行承销的21希望六和MTN001（乡村振兴）(证券代码：102100490.IB）,持仓数量为618882.1,期末公允价格为97.4，标的资产类别为债券;报告期末持有中国工商银行承销的21中电国际GN001（碳中和债）(证券代码：132100129.IB）,持仓数量为148531.7,期末公允价格为103.49，标的资产类别为债券;报告期末持有中国工商银行承销的21中建三局MTN001(证券代码：102103213.IB）,持仓数量为107682.3,期末公允价格为102.6，标的资产类别为债券;报告期末持有中国工商银行承销的21中建三局MTN001(证券代码：102103213.IB）,持仓数量为749789.8,期末公允价格为102.6，标的资产类别为债券;报告期末持有中国工商银行承销的21中交二航MTN001(证券代码：102100960.IB）,持仓数量为717903.3,期末公允价格为102.71，标的资产类别为债券;报告期末持有中国工商银行承销的21中交二航MTN002(证券代码：102101200.IB）,持仓数量为272308.1,期末公允价格为102.04，标的资产类别为债券;报告期末持有中国工商银行承销的22德邦股份MTN001(乡村振兴)(证券代码：102280159.IB）,持仓数量为74265.86,期末公允价格为101.53，标的资产类别为债券;报告期末持有工银瑞信基金管理有限公司承销的城发01优(证券代码：183273.SH）,持仓数量为519909.3,期末公允价格为99.97，标的资产类别为债券;报告期末持有工银瑞信基金管理有限公司发行的工银金融地产混合A(证券代码：000251.OF）,持仓数量为147274.3,期末公允价格为2.639，标的资产类别为基金;报告期末持有工银瑞信基金管理有限公司发行的工银前沿医疗股票A(证券代码：001717.OF）,持仓数量为264673.2,期末公允价格为3.697，标的资产类别为基金;报告期末持有工银瑞信基金管理有限公司发行的工银新生利混合(证券代码：002000.OF）,持仓数量为115858.3,期末公允价格为1.415，标的资产类别为基金;本产品报告期内全部关联交易均按照公允价格开展。</w:t>
      </w:r>
    </w:p>
    <w:p w:rsidR="00F16099" w:rsidRDefault="00F16099">
      <w:pPr>
        <w:rPr>
          <w:rFonts w:hint="eastAsia"/>
        </w:rPr>
      </w:pPr>
    </w:p>
    <w:sectPr w:rsidR="00F16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26B" w:rsidRDefault="0091526B" w:rsidP="00805188">
      <w:r>
        <w:separator/>
      </w:r>
    </w:p>
  </w:endnote>
  <w:endnote w:type="continuationSeparator" w:id="0">
    <w:p w:rsidR="0091526B" w:rsidRDefault="0091526B" w:rsidP="0080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26B" w:rsidRDefault="0091526B" w:rsidP="00805188">
      <w:r>
        <w:separator/>
      </w:r>
    </w:p>
  </w:footnote>
  <w:footnote w:type="continuationSeparator" w:id="0">
    <w:p w:rsidR="0091526B" w:rsidRDefault="0091526B" w:rsidP="00805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50732D"/>
    <w:rsid w:val="0041660D"/>
    <w:rsid w:val="006A78EC"/>
    <w:rsid w:val="00805188"/>
    <w:rsid w:val="0091526B"/>
    <w:rsid w:val="00B749A4"/>
    <w:rsid w:val="00BC4A1D"/>
    <w:rsid w:val="00C13CB4"/>
    <w:rsid w:val="00F16099"/>
    <w:rsid w:val="03943DFE"/>
    <w:rsid w:val="093535F7"/>
    <w:rsid w:val="0FB84A9A"/>
    <w:rsid w:val="125761BA"/>
    <w:rsid w:val="175A7C31"/>
    <w:rsid w:val="1CBD73A0"/>
    <w:rsid w:val="1D50732D"/>
    <w:rsid w:val="22F1463F"/>
    <w:rsid w:val="22F62A31"/>
    <w:rsid w:val="272813C7"/>
    <w:rsid w:val="2DED2A0F"/>
    <w:rsid w:val="3BB80A9C"/>
    <w:rsid w:val="471D0D4B"/>
    <w:rsid w:val="4A863795"/>
    <w:rsid w:val="525338E1"/>
    <w:rsid w:val="52C97EB2"/>
    <w:rsid w:val="52DD2962"/>
    <w:rsid w:val="53DC6448"/>
    <w:rsid w:val="5A647071"/>
    <w:rsid w:val="5C8003AF"/>
    <w:rsid w:val="6A1D1599"/>
    <w:rsid w:val="6F731F99"/>
    <w:rsid w:val="70061C3D"/>
    <w:rsid w:val="73700635"/>
    <w:rsid w:val="774A3BA3"/>
    <w:rsid w:val="7AAB1974"/>
    <w:rsid w:val="7BE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A9320B"/>
  <w15:docId w15:val="{D617845A-BBB4-4EDB-90ED-20291D00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05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05188"/>
    <w:rPr>
      <w:kern w:val="2"/>
      <w:sz w:val="18"/>
      <w:szCs w:val="18"/>
    </w:rPr>
  </w:style>
  <w:style w:type="paragraph" w:styleId="a6">
    <w:name w:val="footer"/>
    <w:basedOn w:val="a"/>
    <w:link w:val="a7"/>
    <w:rsid w:val="00805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0518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5.3、产品投资前十项资产明细</dc:title>
  <dc:creator>张爽</dc:creator>
  <cp:lastModifiedBy>吴梦</cp:lastModifiedBy>
  <cp:revision>4</cp:revision>
  <dcterms:created xsi:type="dcterms:W3CDTF">2022-08-18T09:11:00Z</dcterms:created>
  <dcterms:modified xsi:type="dcterms:W3CDTF">2022-09-20T11:48:00Z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