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405" w:rsidRDefault="00761868">
      <w:pPr>
        <w:spacing w:afterLines="50" w:after="156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7.1</w:t>
      </w:r>
      <w:r w:rsidR="00EC3440">
        <w:rPr>
          <w:rFonts w:ascii="宋体" w:eastAsia="宋体" w:hAnsi="宋体" w:cs="宋体" w:hint="eastAsia"/>
          <w:b/>
          <w:bCs/>
          <w:sz w:val="24"/>
        </w:rPr>
        <w:t>、产品投资前十项资产明细</w:t>
      </w:r>
    </w:p>
    <w:tbl>
      <w:tblPr>
        <w:tblStyle w:val="a3"/>
        <w:tblW w:w="4998" w:type="pct"/>
        <w:tblLook w:val="04A0" w:firstRow="1" w:lastRow="0" w:firstColumn="1" w:lastColumn="0" w:noHBand="0" w:noVBand="1"/>
      </w:tblPr>
      <w:tblGrid>
        <w:gridCol w:w="1332"/>
        <w:gridCol w:w="2856"/>
        <w:gridCol w:w="2629"/>
        <w:gridCol w:w="1476"/>
      </w:tblGrid>
      <w:tr w:rsidR="000B6405" w:rsidTr="00D2117A">
        <w:tc>
          <w:tcPr>
            <w:tcW w:w="803" w:type="pct"/>
            <w:vAlign w:val="center"/>
          </w:tcPr>
          <w:p w:rsidR="000B6405" w:rsidRDefault="00EC34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1722" w:type="pct"/>
            <w:vAlign w:val="center"/>
          </w:tcPr>
          <w:p w:rsidR="000B6405" w:rsidRDefault="00EC34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资产名称</w:t>
            </w:r>
          </w:p>
        </w:tc>
        <w:tc>
          <w:tcPr>
            <w:tcW w:w="1585" w:type="pct"/>
            <w:vAlign w:val="center"/>
          </w:tcPr>
          <w:p w:rsidR="000B6405" w:rsidRDefault="00EC34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</w:t>
            </w:r>
          </w:p>
        </w:tc>
        <w:tc>
          <w:tcPr>
            <w:tcW w:w="890" w:type="pct"/>
            <w:vAlign w:val="center"/>
          </w:tcPr>
          <w:p w:rsidR="000B6405" w:rsidRDefault="00EC3440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规模占比（%）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招商产业债券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19935770.00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3.38%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汇添富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绝对收益定开混合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15749355.00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2.67%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年国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开债指数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15172347.00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2.57%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富国天利增长债券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15117784.00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2.56%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5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易方达中债</w:t>
            </w:r>
            <w:r>
              <w:rPr>
                <w:rFonts w:hint="eastAsia"/>
                <w:color w:val="000000"/>
                <w:sz w:val="22"/>
                <w:szCs w:val="22"/>
              </w:rPr>
              <w:t>7-10</w:t>
            </w:r>
            <w:r>
              <w:rPr>
                <w:rFonts w:hint="eastAsia"/>
                <w:color w:val="000000"/>
                <w:sz w:val="22"/>
                <w:szCs w:val="22"/>
              </w:rPr>
              <w:t>年期国开行债券指数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13084678.00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2.22%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6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广发中债农发债总指数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12876378.00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2.18%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7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达纯债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年定期开放债券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11876320.00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2.01%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8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易方达黄金</w:t>
            </w:r>
            <w:r>
              <w:rPr>
                <w:rFonts w:hint="eastAsia"/>
                <w:color w:val="000000"/>
                <w:sz w:val="22"/>
                <w:szCs w:val="22"/>
              </w:rPr>
              <w:t>ETF</w:t>
            </w:r>
            <w:r>
              <w:rPr>
                <w:rFonts w:hint="eastAsia"/>
                <w:color w:val="000000"/>
                <w:sz w:val="22"/>
                <w:szCs w:val="22"/>
              </w:rPr>
              <w:t>联接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11836698.00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2.00%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9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华夏</w:t>
            </w: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亚债中国</w:t>
            </w:r>
            <w:proofErr w:type="gramEnd"/>
            <w:r>
              <w:rPr>
                <w:rFonts w:hint="eastAsia"/>
                <w:color w:val="000000"/>
                <w:sz w:val="22"/>
                <w:szCs w:val="22"/>
              </w:rPr>
              <w:t>债券指数</w:t>
            </w:r>
            <w:r>
              <w:rPr>
                <w:rFonts w:hint="eastAsia"/>
                <w:color w:val="000000"/>
                <w:sz w:val="22"/>
                <w:szCs w:val="22"/>
              </w:rPr>
              <w:t>A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11254886.00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1.91%</w:t>
            </w:r>
          </w:p>
        </w:tc>
      </w:tr>
      <w:tr w:rsidR="00254809" w:rsidTr="00D2117A">
        <w:tc>
          <w:tcPr>
            <w:tcW w:w="803" w:type="pct"/>
            <w:vAlign w:val="center"/>
          </w:tcPr>
          <w:p w:rsidR="00254809" w:rsidRDefault="00254809" w:rsidP="00254809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10</w:t>
            </w:r>
          </w:p>
        </w:tc>
        <w:tc>
          <w:tcPr>
            <w:tcW w:w="1722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易方达裕景添利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个月定期开放债券</w:t>
            </w:r>
          </w:p>
        </w:tc>
        <w:tc>
          <w:tcPr>
            <w:tcW w:w="1585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9833037.00</w:t>
            </w:r>
          </w:p>
        </w:tc>
        <w:tc>
          <w:tcPr>
            <w:tcW w:w="890" w:type="pct"/>
            <w:vAlign w:val="center"/>
          </w:tcPr>
          <w:p w:rsidR="00254809" w:rsidRDefault="00254809" w:rsidP="002548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1.67%</w:t>
            </w:r>
          </w:p>
        </w:tc>
      </w:tr>
    </w:tbl>
    <w:p w:rsidR="000B6405" w:rsidRDefault="00EC3440">
      <w:r>
        <w:rPr>
          <w:rFonts w:hint="eastAsia"/>
        </w:rPr>
        <w:t>注：本表列示穿透后投资规模</w:t>
      </w:r>
      <w:proofErr w:type="gramStart"/>
      <w:r>
        <w:rPr>
          <w:rFonts w:hint="eastAsia"/>
        </w:rPr>
        <w:t>占比较</w:t>
      </w:r>
      <w:proofErr w:type="gramEnd"/>
      <w:r>
        <w:rPr>
          <w:rFonts w:hint="eastAsia"/>
        </w:rPr>
        <w:t>高的前十项资产，不含现金及活期存款、</w:t>
      </w:r>
      <w:r>
        <w:rPr>
          <w:rFonts w:hint="eastAsia"/>
        </w:rPr>
        <w:t>7</w:t>
      </w:r>
      <w:r>
        <w:rPr>
          <w:rFonts w:hint="eastAsia"/>
        </w:rPr>
        <w:t>日内到期的定期存款。总资产包含应计利息、证券清算款和其他应收款项。其中，定期存款类资产（如有）规模合并计算，衍生品类资产（如有）规模以保证金合并计算。因末位数字四舍五入，可能存在尾差。</w:t>
      </w:r>
    </w:p>
    <w:p w:rsidR="00761868" w:rsidRDefault="00761868">
      <w:bookmarkStart w:id="0" w:name="_GoBack"/>
      <w:bookmarkEnd w:id="0"/>
    </w:p>
    <w:p w:rsidR="00761868" w:rsidRPr="00761868" w:rsidRDefault="00761868" w:rsidP="00761868">
      <w:pPr>
        <w:widowControl/>
        <w:rPr>
          <w:rFonts w:ascii="宋体" w:eastAsia="宋体" w:hAnsi="宋体" w:cs="宋体"/>
          <w:b/>
          <w:bCs/>
          <w:sz w:val="24"/>
        </w:rPr>
      </w:pPr>
      <w:r w:rsidRPr="00761868">
        <w:rPr>
          <w:rFonts w:ascii="宋体" w:eastAsia="宋体" w:hAnsi="宋体" w:cs="宋体"/>
          <w:b/>
          <w:bCs/>
          <w:sz w:val="24"/>
        </w:rPr>
        <w:t>7.2</w:t>
      </w:r>
      <w:r w:rsidRPr="00761868">
        <w:rPr>
          <w:rFonts w:ascii="宋体" w:eastAsia="宋体" w:hAnsi="宋体" w:cs="宋体" w:hint="eastAsia"/>
          <w:b/>
          <w:bCs/>
          <w:sz w:val="24"/>
        </w:rPr>
        <w:t xml:space="preserve"> 关联交易报告</w:t>
      </w:r>
    </w:p>
    <w:p w:rsidR="00761868" w:rsidRPr="00761868" w:rsidRDefault="00761868" w:rsidP="00761868">
      <w:pPr>
        <w:widowControl/>
        <w:rPr>
          <w:rFonts w:ascii="等线" w:eastAsia="等线" w:hAnsi="等线" w:cs="宋体"/>
          <w:color w:val="000000"/>
          <w:kern w:val="0"/>
          <w:sz w:val="22"/>
          <w:szCs w:val="22"/>
        </w:rPr>
      </w:pPr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期末持有中国工商银行承销的21</w:t>
      </w:r>
      <w:proofErr w:type="gramStart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诚通控股</w:t>
      </w:r>
      <w:proofErr w:type="gramEnd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MTN001(证券代码：102100694.IB）,持仓数量为1488526,期末公允价格为102.14，标的资产类别为债券;报告期末持有中国工商银行承销的21江苏租赁债01(证券代码：2122015.IB）,持仓数量为5316164,期末公允价格为102.47，标的资产类别为债券;报告期末持有中国工商银行承销的21金地MTN004(证券代码：102100991.IB）,持仓数量为2126466,期末公允价格为98.28，标的资产类别为债券;报告期末持有</w:t>
      </w:r>
      <w:proofErr w:type="gramStart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</w:t>
      </w:r>
      <w:proofErr w:type="gramStart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银金融</w:t>
      </w:r>
      <w:proofErr w:type="gramEnd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地产混合A(证券代码：000251.OF）,持仓数量为644865.1,期末公允价格为2.639，标的资产类别为基金;报告期末持有</w:t>
      </w:r>
      <w:proofErr w:type="gramStart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基金管理有限公司发行的工银前沿医疗股票A(证券代码：001717.OF）,持仓数量为558555.7,期末公允价格为3.697，标的资产类别为基金;报告期末持有</w:t>
      </w:r>
      <w:proofErr w:type="gramStart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</w:t>
      </w:r>
      <w:proofErr w:type="gramStart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工银深证</w:t>
      </w:r>
      <w:proofErr w:type="gramEnd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红利ETF联接A(证券代码：481012.OF）,持仓数量为609307.2,期末公允价格为1.3499，标的资产类别为基金;报告期末持有</w:t>
      </w:r>
      <w:proofErr w:type="gramStart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工银瑞信</w:t>
      </w:r>
      <w:proofErr w:type="gramEnd"/>
      <w:r w:rsidRPr="00761868">
        <w:rPr>
          <w:rFonts w:ascii="等线" w:eastAsia="等线" w:hAnsi="等线" w:cs="宋体" w:hint="eastAsia"/>
          <w:color w:val="000000"/>
          <w:kern w:val="0"/>
          <w:sz w:val="22"/>
          <w:szCs w:val="22"/>
        </w:rPr>
        <w:t>基金管理有限公司发行的工银新金融股票(证券代码：001054.OF）,持仓数量为620474.1,期末公允价格为3.078，标的资产类别为基金;本产品报告期内全部关联交易均按照公允价格开展。</w:t>
      </w:r>
    </w:p>
    <w:p w:rsidR="00761868" w:rsidRPr="00761868" w:rsidRDefault="00761868">
      <w:pPr>
        <w:rPr>
          <w:rFonts w:hint="eastAsia"/>
        </w:rPr>
      </w:pPr>
    </w:p>
    <w:sectPr w:rsidR="00761868" w:rsidRPr="007618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A74" w:rsidRDefault="00A34A74" w:rsidP="00D2117A">
      <w:r>
        <w:separator/>
      </w:r>
    </w:p>
  </w:endnote>
  <w:endnote w:type="continuationSeparator" w:id="0">
    <w:p w:rsidR="00A34A74" w:rsidRDefault="00A34A74" w:rsidP="00D2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A74" w:rsidRDefault="00A34A74" w:rsidP="00D2117A">
      <w:r>
        <w:separator/>
      </w:r>
    </w:p>
  </w:footnote>
  <w:footnote w:type="continuationSeparator" w:id="0">
    <w:p w:rsidR="00A34A74" w:rsidRDefault="00A34A74" w:rsidP="00D2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D50732D"/>
    <w:rsid w:val="000B6405"/>
    <w:rsid w:val="00254809"/>
    <w:rsid w:val="006B0DD1"/>
    <w:rsid w:val="00761868"/>
    <w:rsid w:val="00837228"/>
    <w:rsid w:val="00A34A74"/>
    <w:rsid w:val="00D2117A"/>
    <w:rsid w:val="00EC3440"/>
    <w:rsid w:val="03943DFE"/>
    <w:rsid w:val="093535F7"/>
    <w:rsid w:val="0FB84A9A"/>
    <w:rsid w:val="125761BA"/>
    <w:rsid w:val="175A7C31"/>
    <w:rsid w:val="1CBD73A0"/>
    <w:rsid w:val="1D50732D"/>
    <w:rsid w:val="22F1463F"/>
    <w:rsid w:val="22F62A31"/>
    <w:rsid w:val="272813C7"/>
    <w:rsid w:val="2DED2A0F"/>
    <w:rsid w:val="3BB80A9C"/>
    <w:rsid w:val="471D0D4B"/>
    <w:rsid w:val="4A863795"/>
    <w:rsid w:val="525338E1"/>
    <w:rsid w:val="52C97EB2"/>
    <w:rsid w:val="52DD2962"/>
    <w:rsid w:val="53DC6448"/>
    <w:rsid w:val="5A647071"/>
    <w:rsid w:val="5C8003AF"/>
    <w:rsid w:val="6A1D1599"/>
    <w:rsid w:val="6F731F99"/>
    <w:rsid w:val="70061C3D"/>
    <w:rsid w:val="73700635"/>
    <w:rsid w:val="774A3BA3"/>
    <w:rsid w:val="7AAB1974"/>
    <w:rsid w:val="7BE3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1E8C67"/>
  <w15:docId w15:val="{1900696C-1464-4BC4-88BF-AB87FE19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11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117A"/>
    <w:rPr>
      <w:kern w:val="2"/>
      <w:sz w:val="18"/>
      <w:szCs w:val="18"/>
    </w:rPr>
  </w:style>
  <w:style w:type="paragraph" w:styleId="a6">
    <w:name w:val="footer"/>
    <w:basedOn w:val="a"/>
    <w:link w:val="a7"/>
    <w:rsid w:val="00D21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2117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9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5.3、产品投资前十项资产明细</dc:title>
  <dc:creator>张爽</dc:creator>
  <cp:lastModifiedBy>张璐</cp:lastModifiedBy>
  <cp:revision>2</cp:revision>
  <dcterms:created xsi:type="dcterms:W3CDTF">2022-09-20T11:25:00Z</dcterms:created>
  <dcterms:modified xsi:type="dcterms:W3CDTF">2022-09-20T11:25:00Z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2052-11.8.2.8902</vt:lpwstr>
  </property>
</Properties>
</file>