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7.1、产品投资前十项资产明细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934"/>
        <w:gridCol w:w="2701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规模占比（%）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工银金融地产混合A</w:t>
            </w:r>
          </w:p>
        </w:tc>
        <w:tc>
          <w:tcPr>
            <w:tcW w:w="1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8655963.70 </w:t>
            </w:r>
          </w:p>
        </w:tc>
        <w:tc>
          <w:tcPr>
            <w:tcW w:w="8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7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招商产业债券A</w:t>
            </w:r>
          </w:p>
        </w:tc>
        <w:tc>
          <w:tcPr>
            <w:tcW w:w="1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8179509.00 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7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富国天利增长债券</w:t>
            </w:r>
          </w:p>
        </w:tc>
        <w:tc>
          <w:tcPr>
            <w:tcW w:w="1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6737116.00 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7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汇添富绝对收益定开混合A</w:t>
            </w:r>
          </w:p>
        </w:tc>
        <w:tc>
          <w:tcPr>
            <w:tcW w:w="1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5758335.00 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7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广发中债7-10年国开债指数A</w:t>
            </w:r>
          </w:p>
        </w:tc>
        <w:tc>
          <w:tcPr>
            <w:tcW w:w="1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5547367.00 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7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国泰中证全指家用电器ETF</w:t>
            </w:r>
          </w:p>
        </w:tc>
        <w:tc>
          <w:tcPr>
            <w:tcW w:w="1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5280395.70 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17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前海开源金银珠宝混合A</w:t>
            </w:r>
          </w:p>
        </w:tc>
        <w:tc>
          <w:tcPr>
            <w:tcW w:w="1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5155778.00 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7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易方达中债7-10年期国开行债券指数A</w:t>
            </w:r>
          </w:p>
        </w:tc>
        <w:tc>
          <w:tcPr>
            <w:tcW w:w="1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4784066.00 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17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19中交建MTN004</w:t>
            </w:r>
          </w:p>
        </w:tc>
        <w:tc>
          <w:tcPr>
            <w:tcW w:w="1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4755994.13 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17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广发中债农发债总指数A</w:t>
            </w:r>
          </w:p>
        </w:tc>
        <w:tc>
          <w:tcPr>
            <w:tcW w:w="1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4707907.00 </w:t>
            </w:r>
          </w:p>
        </w:tc>
        <w:tc>
          <w:tcPr>
            <w:tcW w:w="8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0.90%</w:t>
            </w:r>
          </w:p>
        </w:tc>
      </w:tr>
    </w:tbl>
    <w:p>
      <w:r>
        <w:rPr>
          <w:rFonts w:hint="eastAsia"/>
        </w:rPr>
        <w:t>注：本表列示穿透后投资规模占比较高的前十项资产，不含现金及活期存款、7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>
      <w:pPr>
        <w:spacing w:after="156" w:afterLines="50"/>
        <w:rPr>
          <w:rFonts w:hint="eastAsia" w:ascii="宋体" w:hAnsi="宋体" w:eastAsia="宋体" w:cs="宋体"/>
          <w:b/>
          <w:bCs/>
          <w:sz w:val="24"/>
        </w:rPr>
      </w:pPr>
    </w:p>
    <w:p>
      <w:pPr>
        <w:spacing w:after="156" w:afterLines="5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7.2 关联交易报告</w:t>
      </w:r>
    </w:p>
    <w:p>
      <w:pPr>
        <w:widowControl/>
        <w:rPr>
          <w:rFonts w:ascii="等线" w:hAnsi="等线" w:eastAsia="等线" w:cs="宋体"/>
          <w:color w:val="000000"/>
          <w:kern w:val="0"/>
          <w:sz w:val="22"/>
          <w:szCs w:val="22"/>
        </w:rPr>
      </w:pPr>
      <w:r>
        <w:rPr>
          <w:rFonts w:hint="eastAsia"/>
        </w:rPr>
        <w:t>期末持有中国工商银行承销的19光穗节能ABN001优先(证券代码：081900685.IB）,持仓数量为991692.1,期末公允价格为100.98，标的资产类别为债券;报告期末持有中国工商银行承销的19平安银行二级(证券代码：1928010.IB）,持仓数量为3304011,期末公允价格为104.01，标的资产类别为债券;报告期末持有中国工商银行承销的19中交建MTN004(证券代码：101901706.IB）,持仓数量为4625615,期末公允价格为102.82，标的资产类别为债券;报告期末持有中国工商银行承销的20川交投MTN002(证券代码：102002298.IB）,持仓数量为198240.6,期末公允价格为105.23，标的资产类别为债券;报告期末持有中国工商银行承销的20光穗节能ABN001优先(证券代码：082000525.IB）,持仓数量为417401.6,期末公允价格为100.48，标的资产类别为债券;报告期末持有中国工商银行承销的20光穗节能ABN002优先(证券代码：082000934.IB）,持仓数量为1328692,期末公允价格为101.6，标的资产类别为债券;报告期末持有中国工商银行承销的20光穗节能ABN003优先(证券代码：082001055.IB）,持仓数量为1653838,期末公允价格为101.9，标的资产类别为债券;报告期末持有中国工商银行承销的20光穗南电ABN001优先(证券代码：082001001.IB）,持仓数量为2651421,期末公允价格为101.66，标的资产类别为债券;报告期末持有中国工商银行承销的20平安租赁PPN002(证券代码：032000152.IB）,持仓数量为660802.2,期末公允价格为101.69，标的资产类别为债券;报告期末持有中国工商银行承销的20中国银行二级01(证券代码：2028038.IB）,持仓数量为66080.22,期末公允价格为106.56，标的资产类别为债券;报告期末持有中国工商银行承销的20中建七局(疫情防控债)MTN001(证券代码：102000508.IB）,持仓数量为1123364,期末公允价格为101.74，标的资产类别为债券;报告期末持有中国工商银行承销的20中建三局MTN001(证券代码：102002190.IB）,持仓数量为1850246,期末公允价格为105.29，标的资产类别为债券;报告期末持有中国工商银行承销的21诚通控股MTN001(证券代码：102100694.IB）,持仓数量为701453.4,期末公允价格为102.14，标的资产类别为债券;报告期末持有中国工商银行承销的21大唐集MTN006(证券代码：102102138.IB）,持仓数量为1321604,期末公允价格为103.6，标的资产类别为债券;报告期末持有中国工商银行承销的21峨乐旅集MTN001(证券代码：102101742.IB）,持仓数量为1255524,期末公允价格为105.07，标的资产类别为债券;报告期末持有中国工商银行承销的21港兴港投MTN001(证券代码：102100746.IB）,持仓数量为1321604,期末公允价格为102.7，标的资产类别为债券;报告期末持有中国工商银行承销的21光穗华电ABN001优先(证券代码：082100277.IB）,持仓数量为3332043,期末公允价格为101.64，标的资产类别为债券;报告期末持有中国工商银行承销的21光穗华电ABN002优先(证券代码：082100802.IB）,持仓数量为1671877,期末公允价格为100.77，标的资产类别为债券;报告期末持有中国工商银行承销的21华侨城MTN005(证券代码：102102167.IB）,持仓数量为1453765,期末公允价格为103.96，标的资产类别为债券;报告期末持有中国工商银行承销的21江苏租赁债01(证券代码：2122015.IB）,持仓数量为2505191,期末公允价格为102.47，标的资产类别为债券;报告期末持有中国工商银行承销的21金地MTN004(证券代码：102100991.IB）,持仓数量为1002076,期末公允价格为98.28，标的资产类别为债券;报告期末持有中国工商银行承销的21金地MTN005(证券代码：102101091.IB）,持仓数量为991203.2,期末公允价格为98.14，标的资产类别为债券;报告期末持有中国工商银行承销的21静安置业MTN002(证券代码：102102201.IB）,持仓数量为396481.3,期末公允价格为103.3，标的资产类别为债券;报告期末持有中国工商银行承销的21聚盈京能ABN001优先(证券代码：082101014.IB）,持仓数量为1331041,期末公允价格为101.12，标的资产类别为债券;报告期末持有中国工商银行承销的21人才安居MTN002(证券代码：102102212.IB）,持仓数量为330401.1,期末公允价格为102.78，标的资产类别为债券;报告期末持有中国工商银行承销的21山东高速ABN001优先(证券代码：082100574.IB）,持仓数量为3307310,期末公允价格为101.8，标的资产类别为债券;报告期末持有中国工商银行承销的21水电五局MTN001(证券代码：102100857.IB）,持仓数量为1519845,期末公允价格为102.12，标的资产类别为债券;报告期末持有中国工商银行承销的21铁四院MTN001(证券代码：102100236.IB）,持仓数量为792962.6,期末公允价格为103.8，标的资产类别为债券;报告期末持有中国工商银行承销的21希望六和MTN001（乡村振兴）(证券代码：102100490.IB）,持仓数量为1652005,期末公允价格为97.4，标的资产类别为债券;报告期末持有中国工商银行承销的21中电国际GN001（碳中和债）(证券代码：132100129.IB）,持仓数量为396481.3,期末公允价格为103.49，标的资产类别为债券;报告期末持有中国工商银行承销的21中交二航MTN001(证券代码：102100960.IB）,持仓数量为1916326,期末公允价格为102.71，标的资产类别为债券;报告期末持有中国工商银行承销的21中交二航MTN002(证券代码：102101200.IB）,持仓数量为726882.4,期末公允价格为102.04，标的资产类别为债券;报告期末持有中国工商银行承销的22德邦股份MTN001(乡村振兴)(证券代码：102280159.IB）,持仓数量为198240.6,期末公允价格为101.53，标的资产类别为债券;报告期末持有工银瑞信基金管理有限公司承销的城发01优(证券代码：183273.SH）,持仓数量为1387814,期末公允价格为99.97，标的资产类别为债券;报告期末持有工银瑞信基金管理有限公司发行的工银金融地产混合A(证券代码：000251.OF）,持仓数量为235777.8,期末公允价格为2.639，标的资产类别为基金;报告期末持有工银瑞信基金管理有限公司发行的工银金融地产混合A(证券代码：000251.OF）,持仓数量为3044239,期末公允价格为2.639，标的资产类别为基金;报告期末持有工银瑞信基金管理有限公司发行的工银前沿医疗股票A(证券代码：001717.OF）,持仓数量为126238.9,期末公允价格为3.697，标的资产类别为基</w:t>
      </w:r>
      <w:r>
        <w:rPr>
          <w:rFonts w:hint="eastAsia" w:ascii="等线" w:hAnsi="等线" w:eastAsia="等线" w:cs="宋体"/>
          <w:color w:val="000000"/>
          <w:kern w:val="0"/>
          <w:sz w:val="22"/>
          <w:szCs w:val="22"/>
        </w:rPr>
        <w:t>金;报告期末持有工银瑞信基金管理有限公司发行的工银前沿医疗股票A(证券代码：001717.OF）,持仓数量为204221.1,期末公允价格为3.697，标的资产类别为基金;报告期末持有工银瑞信基金管理有限公司发行的工银深证红利ETF联接A(证券代码：481012.OF）,持仓数量为222777.1,期末公允价格为1.3499，标的资产类别为基金;报告期末持有工银瑞信基金管理有限公司发行的工银新金融股票(证券代码：001054.OF）,持仓数量为226859.9,期末公允价格为3.078，标的资产类别为基金;本产品报告期内全部关联交易均按照公允价格开展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50732D"/>
    <w:rsid w:val="00067153"/>
    <w:rsid w:val="000D75FA"/>
    <w:rsid w:val="000D7A2D"/>
    <w:rsid w:val="00900DDB"/>
    <w:rsid w:val="00E6649E"/>
    <w:rsid w:val="03943DFE"/>
    <w:rsid w:val="093535F7"/>
    <w:rsid w:val="0FB84A9A"/>
    <w:rsid w:val="125761BA"/>
    <w:rsid w:val="175A7C31"/>
    <w:rsid w:val="1CBD73A0"/>
    <w:rsid w:val="1D50732D"/>
    <w:rsid w:val="219C4D54"/>
    <w:rsid w:val="22F1463F"/>
    <w:rsid w:val="22F62A31"/>
    <w:rsid w:val="272813C7"/>
    <w:rsid w:val="287D7A10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3</Pages>
  <Words>583</Words>
  <Characters>3328</Characters>
  <Lines>27</Lines>
  <Paragraphs>7</Paragraphs>
  <TotalTime>1</TotalTime>
  <ScaleCrop>false</ScaleCrop>
  <LinksUpToDate>false</LinksUpToDate>
  <CharactersWithSpaces>3904</CharactersWithSpaces>
  <Application>WPS Office_11.8.2.8902_F1E327BC-269C-435d-A152-05C5408002CA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2022-09-20T12:11:00Z</dcterms:created>
  <dc:creator>张爽</dc:creator>
  <cp:lastModifiedBy>gylc-guoyq</cp:lastModifiedBy>
  <dcterms:modified xsi:type="dcterms:W3CDTF">2022-09-21T11:10:52Z</dcterms:modified>
  <dc:title>5.3、产品投资前十项资产明细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