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jc w:val="center"/>
        <w:rPr>
          <w:rFonts w:ascii="Times New Roman" w:hAnsi="Times New Roman" w:eastAsia="Times New Roman" w:cs="Times New Roman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ascii="Times New Roman" w:hAnsi="Times New Roman" w:eastAsia="Times New Roman" w:cs="Times New Roman"/>
          <w:kern w:val="2"/>
          <w:sz w:val="21"/>
          <w:szCs w:val="21"/>
          <w:highlight w:val="none"/>
          <w:lang w:val="en-US" w:eastAsia="zh-CN" w:bidi="ar-SA"/>
        </w:rPr>
        <w:pict>
          <v:shape id="_x0000_i1025" o:spt="75" type="#_x0000_t75" style="height:61.6pt;width:153.65pt;" fillcolor="#FFFFFF" filled="f" o:preferrelative="t" stroked="f" coordsize="21600,21600">
            <v:path/>
            <v:fill on="f" color2="#FFFFFF" focussize="0,0"/>
            <v:stroke on="f"/>
            <v:imagedata r:id="rId6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pStyle w:val="8"/>
        <w:jc w:val="center"/>
        <w:rPr>
          <w:rFonts w:ascii="Cambria" w:hAnsi="Cambria"/>
          <w:b/>
          <w:sz w:val="28"/>
          <w:szCs w:val="28"/>
          <w:highlight w:val="none"/>
        </w:rPr>
      </w:pPr>
      <w:r>
        <w:rPr>
          <w:rFonts w:ascii="Cambria" w:hAnsi="Cambria"/>
          <w:b/>
          <w:sz w:val="28"/>
          <w:szCs w:val="28"/>
          <w:highlight w:val="none"/>
        </w:rPr>
        <w:t>Предельные суммы, сроки и ставки вознаграждения</w:t>
      </w:r>
    </w:p>
    <w:p>
      <w:pPr>
        <w:pStyle w:val="8"/>
        <w:jc w:val="center"/>
        <w:rPr>
          <w:rFonts w:ascii="Cambria" w:hAnsi="Cambria"/>
          <w:b/>
          <w:sz w:val="24"/>
          <w:szCs w:val="24"/>
          <w:highlight w:val="none"/>
        </w:rPr>
      </w:pPr>
      <w:r>
        <w:rPr>
          <w:rFonts w:ascii="Cambria" w:hAnsi="Cambria"/>
          <w:b/>
          <w:sz w:val="28"/>
          <w:szCs w:val="28"/>
          <w:highlight w:val="none"/>
        </w:rPr>
        <w:t xml:space="preserve"> по депозитам и кредитам  юридических лиц </w:t>
      </w:r>
      <w:r>
        <w:rPr>
          <w:rFonts w:ascii="Cambria" w:hAnsi="Cambria"/>
          <w:b/>
          <w:sz w:val="28"/>
          <w:szCs w:val="28"/>
          <w:highlight w:val="none"/>
        </w:rPr>
        <w:cr/>
      </w:r>
      <w:r>
        <w:rPr>
          <w:rFonts w:ascii="Cambria" w:hAnsi="Cambria"/>
          <w:b/>
          <w:sz w:val="28"/>
          <w:szCs w:val="28"/>
          <w:highlight w:val="none"/>
        </w:rPr>
        <w:t xml:space="preserve">АО «Торгово- промышленный Банк Китая в </w:t>
      </w:r>
      <w:r>
        <w:rPr>
          <w:rFonts w:hint="default" w:ascii="Cambria" w:hAnsi="Cambria"/>
          <w:b/>
          <w:sz w:val="28"/>
          <w:szCs w:val="28"/>
          <w:highlight w:val="none"/>
          <w:lang w:val="ru-RU"/>
        </w:rPr>
        <w:t>городе</w:t>
      </w:r>
      <w:r>
        <w:rPr>
          <w:rFonts w:ascii="Cambria" w:hAnsi="Cambria"/>
          <w:b/>
          <w:sz w:val="28"/>
          <w:szCs w:val="28"/>
          <w:highlight w:val="none"/>
        </w:rPr>
        <w:t xml:space="preserve"> Алматы»</w:t>
      </w:r>
      <w:r>
        <w:rPr>
          <w:rFonts w:ascii="Cambria" w:hAnsi="Cambria"/>
          <w:b/>
          <w:sz w:val="24"/>
          <w:szCs w:val="24"/>
          <w:highlight w:val="none"/>
        </w:rPr>
        <w:t xml:space="preserve"> </w:t>
      </w:r>
      <w:r>
        <w:rPr>
          <w:rFonts w:ascii="Cambria" w:hAnsi="Cambria"/>
          <w:b/>
          <w:sz w:val="24"/>
          <w:szCs w:val="24"/>
          <w:highlight w:val="none"/>
        </w:rPr>
        <w:cr/>
      </w:r>
    </w:p>
    <w:tbl>
      <w:tblPr>
        <w:tblStyle w:val="7"/>
        <w:tblW w:w="10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881"/>
        <w:gridCol w:w="1189"/>
        <w:gridCol w:w="1189"/>
        <w:gridCol w:w="1189"/>
        <w:gridCol w:w="1189"/>
        <w:gridCol w:w="1238"/>
        <w:gridCol w:w="1260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9" w:type="dxa"/>
            <w:vMerge w:val="restart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№</w:t>
            </w:r>
          </w:p>
        </w:tc>
        <w:tc>
          <w:tcPr>
            <w:tcW w:w="1881" w:type="dxa"/>
            <w:vMerge w:val="restart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Наименование продукта</w:t>
            </w:r>
          </w:p>
        </w:tc>
        <w:tc>
          <w:tcPr>
            <w:tcW w:w="2378" w:type="dxa"/>
            <w:gridSpan w:val="2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Предельные суммы</w:t>
            </w:r>
          </w:p>
        </w:tc>
        <w:tc>
          <w:tcPr>
            <w:tcW w:w="2378" w:type="dxa"/>
            <w:gridSpan w:val="2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Предельные сроки</w:t>
            </w:r>
          </w:p>
        </w:tc>
        <w:tc>
          <w:tcPr>
            <w:tcW w:w="2498" w:type="dxa"/>
            <w:gridSpan w:val="2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Предельные ставки вознаграждения, % годовых</w:t>
            </w:r>
          </w:p>
        </w:tc>
        <w:tc>
          <w:tcPr>
            <w:tcW w:w="1283" w:type="dxa"/>
            <w:vMerge w:val="restart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>Ставка ГЭСВ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59" w:type="dxa"/>
            <w:vMerge w:val="continue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881" w:type="dxa"/>
            <w:vMerge w:val="continue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Мин </w:t>
            </w:r>
          </w:p>
        </w:tc>
        <w:tc>
          <w:tcPr>
            <w:tcW w:w="1189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Макс </w:t>
            </w:r>
          </w:p>
        </w:tc>
        <w:tc>
          <w:tcPr>
            <w:tcW w:w="1189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Мин </w:t>
            </w:r>
          </w:p>
        </w:tc>
        <w:tc>
          <w:tcPr>
            <w:tcW w:w="1189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Макс </w:t>
            </w:r>
          </w:p>
        </w:tc>
        <w:tc>
          <w:tcPr>
            <w:tcW w:w="1238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Мин </w:t>
            </w:r>
          </w:p>
        </w:tc>
        <w:tc>
          <w:tcPr>
            <w:tcW w:w="1260" w:type="dxa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 w:val="0"/>
                <w:color w:val="FFFFFF"/>
                <w:sz w:val="24"/>
                <w:szCs w:val="24"/>
                <w:highlight w:val="none"/>
              </w:rPr>
              <w:t xml:space="preserve">Макс </w:t>
            </w:r>
          </w:p>
        </w:tc>
        <w:tc>
          <w:tcPr>
            <w:tcW w:w="1283" w:type="dxa"/>
            <w:vMerge w:val="continue"/>
            <w:shd w:val="clear" w:color="auto" w:fill="FF0000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FFFFFF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Вклад до востребования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right="-134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 w:right="66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сторон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бессрочные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90" w:leftChars="0" w:hanging="9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бессрочные</w:t>
            </w: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0%</w:t>
            </w: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0%</w:t>
            </w:r>
          </w:p>
          <w:p/>
        </w:tc>
        <w:tc>
          <w:tcPr>
            <w:tcW w:w="1283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 xml:space="preserve">Условный вклад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Ликвидационный фонд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highlight w:val="none"/>
              </w:rPr>
              <w:t>»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До наступления определенных событий, указанных в договоре вклада</w:t>
            </w: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KZT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0%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USD 0%</w:t>
            </w: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KZT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Базовая ставка НБРК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USD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</w:tc>
        <w:tc>
          <w:tcPr>
            <w:tcW w:w="1283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KZT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0%-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USD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0-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5,5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b w:val="0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Условный вклад в режиме эскроу-счета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</w:tc>
        <w:tc>
          <w:tcPr>
            <w:tcW w:w="2378" w:type="dxa"/>
            <w:gridSpan w:val="2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До наступления определенных событий, указанных в договоре вклада</w:t>
            </w: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 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 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EUR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CNY 0,001%</w:t>
            </w: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KZT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Базовая ставка НБРК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+5%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USD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5 %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EUR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15%</w:t>
            </w:r>
          </w:p>
        </w:tc>
        <w:tc>
          <w:tcPr>
            <w:tcW w:w="1283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5,5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EUR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0%-5,5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en-US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17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Срочный вклад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До 1 месяца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Свыше 1года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12 месяцев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И более</w:t>
            </w: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 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 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CNY 0,001%</w:t>
            </w: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KZT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Базовая ставка НБРК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+5%</w:t>
            </w:r>
            <w:r>
              <w:rPr>
                <w:rFonts w:hint="default" w:ascii="Times New Roman" w:hAnsi="Times New Roman" w:eastAsia="SimSu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USD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10%</w:t>
            </w:r>
          </w:p>
        </w:tc>
        <w:tc>
          <w:tcPr>
            <w:tcW w:w="1283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5,5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12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</w:trPr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4.1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Овернайт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Не ограничено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Align w:val="top"/>
          </w:tcPr>
          <w:p>
            <w:pPr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1 день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9" w:type="dxa"/>
            <w:vAlign w:val="top"/>
          </w:tcPr>
          <w:p>
            <w:pPr>
              <w:wordWrap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1 день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 0,001 %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 0,001 %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CNY 0,001%</w:t>
            </w: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KZT 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USD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5%</w:t>
            </w:r>
          </w:p>
        </w:tc>
        <w:tc>
          <w:tcPr>
            <w:tcW w:w="1283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 KZT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0%- 1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CNY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0%-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5.</w:t>
            </w:r>
          </w:p>
        </w:tc>
        <w:tc>
          <w:tcPr>
            <w:tcW w:w="1881" w:type="dxa"/>
            <w:vAlign w:val="top"/>
          </w:tcPr>
          <w:p>
            <w:pPr>
              <w:pStyle w:val="8"/>
              <w:wordWrap/>
              <w:snapToGrid/>
              <w:spacing w:after="0" w:line="240" w:lineRule="auto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  <w:t>Займы</w:t>
            </w:r>
            <w:r>
              <w:rPr>
                <w:rFonts w:hint="default" w:cs="Times New Roman"/>
                <w:b w:val="0"/>
                <w:bCs/>
                <w:sz w:val="24"/>
                <w:szCs w:val="24"/>
                <w:highlight w:val="none"/>
              </w:rPr>
              <w:t>, в  том числе в рамках кредитной линии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В пределах лимита по риску на 1 заемщика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  <w:tc>
          <w:tcPr>
            <w:tcW w:w="1189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По согласованию сторон</w:t>
            </w:r>
          </w:p>
        </w:tc>
        <w:tc>
          <w:tcPr>
            <w:tcW w:w="1238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USD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0,1% или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SOFR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+ 0,1%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KZT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не ниже базовой ставки Национального Банка Республики Казахстан, действующей на момент принятия решения о предоставлении кредитования заемщику, уполномоченным органом Банка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.1%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или </w:t>
            </w:r>
            <w:r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Shibor +0.1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EUR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eastAsia="zh-CN"/>
              </w:rPr>
              <w:t>0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.1% </w:t>
            </w:r>
            <w:r>
              <w:rPr>
                <w:rFonts w:hint="default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eastAsia="zh-CN"/>
              </w:rPr>
              <w:t xml:space="preserve">или </w:t>
            </w:r>
            <w:r>
              <w:rPr>
                <w:rFonts w:hint="eastAsia" w:ascii="Times New Roman" w:hAnsi="Times New Roman" w:eastAsia="SimSu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Euribor +0.1%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</w:tc>
        <w:tc>
          <w:tcPr>
            <w:tcW w:w="1260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USD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% или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SOFR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+ 10%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KZT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%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или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базовая ставка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highlight w:val="none"/>
              </w:rPr>
              <w:t>Национального Банка Республики Казахстан, действующей на момент принятия решения о предоставлении кредитования заемщику, уполномоченным органом Банка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 +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10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CNY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30% или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Shibor +10%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EUR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30% или 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Euribor +10% </w:t>
            </w:r>
          </w:p>
        </w:tc>
        <w:tc>
          <w:tcPr>
            <w:tcW w:w="1283" w:type="dxa"/>
            <w:vAlign w:val="top"/>
          </w:tcPr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USD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0,1% - 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%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KZT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8%-46%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  <w:t xml:space="preserve">(при этом по банковским займам, обеспеченным залогом ГЭСВ составляет до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  <w:lang w:val="en-US"/>
              </w:rPr>
              <w:t>35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  <w:t>%)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  <w:lang w:val="en-US"/>
              </w:rPr>
              <w:t xml:space="preserve">CNY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0,1% - 36%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highlight w:val="none"/>
                <w:lang w:val="en-US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  <w:lang w:val="en-US"/>
              </w:rPr>
              <w:t>EUR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15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 xml:space="preserve">0,1% -36% </w:t>
            </w:r>
          </w:p>
          <w:p>
            <w:pPr>
              <w:wordWrap/>
              <w:autoSpaceDE w:val="0"/>
              <w:autoSpaceDN w:val="0"/>
              <w:adjustRightInd w:val="0"/>
              <w:snapToGrid/>
              <w:spacing w:after="0" w:line="240" w:lineRule="auto"/>
              <w:ind w:left="0" w:lef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</w:t>
            </w:r>
          </w:p>
        </w:tc>
      </w:tr>
    </w:tbl>
    <w:p>
      <w:pPr>
        <w:jc w:val="both"/>
        <w:rPr>
          <w:sz w:val="24"/>
          <w:szCs w:val="24"/>
          <w:highlight w:val="none"/>
        </w:rPr>
      </w:pPr>
    </w:p>
    <w:sectPr>
      <w:headerReference r:id="rId3" w:type="default"/>
      <w:footerReference r:id="rId4" w:type="default"/>
      <w:pgSz w:w="11906" w:h="16838"/>
      <w:pgMar w:top="567" w:right="566" w:bottom="567" w:left="567" w:header="708" w:footer="709" w:gutter="0"/>
      <w:pgNumType w:fmt="decimal" w:start="1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auto"/>
    <w:pitch w:val="default"/>
    <w:sig w:usb0="E00006FF" w:usb1="420024FF" w:usb2="02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Calibri" w:cs="Times New Roman"/>
        <w:sz w:val="18"/>
        <w:szCs w:val="18"/>
        <w:lang w:val="en-US" w:eastAsia="en-US" w:bidi="ar-SA"/>
      </w:rPr>
      <w:pict>
        <v:rect id="Text Box 2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  <w:lang w:val="en-US"/>
                  </w:rPr>
                </w:pPr>
                <w:r>
                  <w:rPr>
                    <w:sz w:val="18"/>
                    <w:lang w:val="en-US"/>
                  </w:rPr>
                  <w:fldChar w:fldCharType="begin"/>
                </w:r>
                <w:r>
                  <w:rPr>
                    <w:sz w:val="18"/>
                    <w:lang w:val="en-US"/>
                  </w:rPr>
                  <w:instrText xml:space="preserve"> PAGE  \* MERGEFORMAT </w:instrText>
                </w:r>
                <w:r>
                  <w:rPr>
                    <w:sz w:val="18"/>
                    <w:lang w:val="en-US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  <w:lang w:val="en-US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Приложение №1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 xml:space="preserve">к Правилам об общих условиях проведения банковских операций </w:t>
    </w:r>
    <w:r>
      <w:rPr>
        <w:rFonts w:ascii="Cambria" w:hAnsi="Cambria"/>
        <w:sz w:val="20"/>
        <w:szCs w:val="20"/>
      </w:rPr>
      <w:cr/>
    </w:r>
    <w:r>
      <w:rPr>
        <w:rFonts w:ascii="Cambria" w:hAnsi="Cambria"/>
        <w:sz w:val="20"/>
        <w:szCs w:val="20"/>
      </w:rPr>
      <w:t>АО «Торгово-промышленный Банк Китая в г. Алматы»,</w:t>
    </w: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утвержденным Советом директоров от </w:t>
    </w:r>
    <w:r>
      <w:rPr>
        <w:rFonts w:hint="default" w:ascii="Cambria" w:hAnsi="Cambria"/>
        <w:sz w:val="20"/>
        <w:szCs w:val="20"/>
        <w:lang w:val="ru-RU"/>
      </w:rPr>
      <w:t>28 февраля 2025</w:t>
    </w:r>
    <w:bookmarkStart w:id="0" w:name="_GoBack"/>
    <w:bookmarkEnd w:id="0"/>
    <w:r>
      <w:rPr>
        <w:rFonts w:ascii="Cambria" w:hAnsi="Cambria"/>
        <w:sz w:val="20"/>
        <w:szCs w:val="20"/>
      </w:rPr>
      <w:t>г. (протокол №</w:t>
    </w:r>
    <w:r>
      <w:rPr>
        <w:rFonts w:hint="default" w:ascii="Cambria" w:hAnsi="Cambria"/>
        <w:sz w:val="20"/>
        <w:szCs w:val="20"/>
        <w:lang w:val="en-US"/>
      </w:rPr>
      <w:t>2</w:t>
    </w:r>
    <w:r>
      <w:rPr>
        <w:rFonts w:ascii="Cambria" w:hAnsi="Cambria"/>
        <w:sz w:val="20"/>
        <w:szCs w:val="20"/>
      </w:rPr>
      <w:t>)</w:t>
    </w: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  <w:p>
    <w:pPr>
      <w:pStyle w:val="4"/>
      <w:widowControl/>
      <w:wordWrap/>
      <w:adjustRightInd/>
      <w:snapToGrid w:val="0"/>
      <w:spacing w:after="0" w:line="240" w:lineRule="auto"/>
      <w:ind w:left="0" w:leftChars="0" w:right="0" w:firstLine="0" w:firstLineChars="0"/>
      <w:jc w:val="right"/>
      <w:textAlignment w:val="auto"/>
      <w:outlineLvl w:val="9"/>
      <w:rPr>
        <w:rFonts w:ascii="Cambria" w:hAnsi="Cambri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708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spaceForUL/>
    <w:doNotLeaveBackslashAlone/>
    <w:ulTrailSpace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4302D"/>
    <w:rsid w:val="001C4870"/>
    <w:rsid w:val="002A5893"/>
    <w:rsid w:val="002C6F79"/>
    <w:rsid w:val="002E5D12"/>
    <w:rsid w:val="00460D6A"/>
    <w:rsid w:val="006A72AA"/>
    <w:rsid w:val="00834691"/>
    <w:rsid w:val="009229C8"/>
    <w:rsid w:val="00D56780"/>
    <w:rsid w:val="00EB7DC4"/>
    <w:rsid w:val="00F23C69"/>
    <w:rsid w:val="02890187"/>
    <w:rsid w:val="04261FBF"/>
    <w:rsid w:val="05EC291D"/>
    <w:rsid w:val="073F36B0"/>
    <w:rsid w:val="07D11B6F"/>
    <w:rsid w:val="07F86C58"/>
    <w:rsid w:val="09F22184"/>
    <w:rsid w:val="0A094B63"/>
    <w:rsid w:val="0A3808B1"/>
    <w:rsid w:val="0F0564A1"/>
    <w:rsid w:val="11180692"/>
    <w:rsid w:val="115A4780"/>
    <w:rsid w:val="13467CAF"/>
    <w:rsid w:val="16CA3C68"/>
    <w:rsid w:val="18DA0994"/>
    <w:rsid w:val="1AE721BE"/>
    <w:rsid w:val="1B0A3ABA"/>
    <w:rsid w:val="1D472231"/>
    <w:rsid w:val="1E034AB8"/>
    <w:rsid w:val="1F316818"/>
    <w:rsid w:val="209B62A5"/>
    <w:rsid w:val="212B3AC1"/>
    <w:rsid w:val="22D31C1B"/>
    <w:rsid w:val="2415292F"/>
    <w:rsid w:val="24624C33"/>
    <w:rsid w:val="250C6474"/>
    <w:rsid w:val="25141582"/>
    <w:rsid w:val="26A25E56"/>
    <w:rsid w:val="2AE01841"/>
    <w:rsid w:val="2CA742AB"/>
    <w:rsid w:val="328C7AC1"/>
    <w:rsid w:val="340F3D0D"/>
    <w:rsid w:val="341C0CDF"/>
    <w:rsid w:val="39020519"/>
    <w:rsid w:val="3DED5FD4"/>
    <w:rsid w:val="3E874137"/>
    <w:rsid w:val="3F98667E"/>
    <w:rsid w:val="41EB1CF0"/>
    <w:rsid w:val="484B6A92"/>
    <w:rsid w:val="487A51C9"/>
    <w:rsid w:val="48EB1802"/>
    <w:rsid w:val="4A4C513E"/>
    <w:rsid w:val="4B980330"/>
    <w:rsid w:val="4BC2173F"/>
    <w:rsid w:val="4C092452"/>
    <w:rsid w:val="4C7A3FFE"/>
    <w:rsid w:val="50BD0F51"/>
    <w:rsid w:val="51C32284"/>
    <w:rsid w:val="526623BF"/>
    <w:rsid w:val="528B653A"/>
    <w:rsid w:val="536B2DDD"/>
    <w:rsid w:val="566E25EC"/>
    <w:rsid w:val="5872572E"/>
    <w:rsid w:val="59B726A6"/>
    <w:rsid w:val="59D15AE7"/>
    <w:rsid w:val="5A235E2C"/>
    <w:rsid w:val="5C0D6C5F"/>
    <w:rsid w:val="681A0BF7"/>
    <w:rsid w:val="68B677E3"/>
    <w:rsid w:val="6B8354D6"/>
    <w:rsid w:val="6EBA2787"/>
    <w:rsid w:val="711B0C0C"/>
    <w:rsid w:val="79CC524E"/>
    <w:rsid w:val="7B9F6B69"/>
    <w:rsid w:val="7EE312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432</Characters>
  <Lines>3</Lines>
  <Paragraphs>1</Paragraphs>
  <TotalTime>2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2019-07-25T03:12:00Z</dcterms:created>
  <dc:creator>Danat Muratkhanov</dc:creator>
  <cp:lastModifiedBy>hwal-aigerimy</cp:lastModifiedBy>
  <cp:lastPrinted>2023-06-06T04:49:00Z</cp:lastPrinted>
  <dcterms:modified xsi:type="dcterms:W3CDTF">2025-03-26T05:44:35Z</dcterms:modified>
  <dc:title>_x0001_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1033-11.8.2.8808</vt:lpwstr>
  </property>
</Properties>
</file>