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Times New Roman" w:hAnsi="Times New Roman" w:eastAsia="Times New Roman" w:cs="Times New Roman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ascii="Times New Roman" w:hAnsi="Times New Roman" w:eastAsia="Times New Roman" w:cs="Times New Roman"/>
          <w:kern w:val="2"/>
          <w:sz w:val="21"/>
          <w:szCs w:val="21"/>
          <w:highlight w:val="none"/>
          <w:lang w:val="en-US" w:eastAsia="zh-CN" w:bidi="ar-SA"/>
        </w:rPr>
        <w:drawing>
          <wp:inline distT="0" distB="0" distL="114300" distR="114300">
            <wp:extent cx="1951355" cy="782320"/>
            <wp:effectExtent l="0" t="0" r="10795" b="177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8"/>
        <w:jc w:val="center"/>
        <w:rPr>
          <w:rFonts w:ascii="Cambria" w:hAnsi="Cambria"/>
          <w:b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ru-RU"/>
        </w:rPr>
        <w:t>Limits, terms and rates of interest on deposits and loans of legal entities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en-US"/>
        </w:rPr>
        <w:cr/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en-US"/>
        </w:rPr>
        <w:t xml:space="preserve"> of  “Industrial and Commercial Bank of China in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  <w:lang w:val="en-US"/>
        </w:rPr>
        <w:t>Almaty” JSC</w:t>
      </w:r>
      <w:r>
        <w:rPr>
          <w:rFonts w:hint="default" w:ascii="Times New Roman" w:hAnsi="Times New Roman" w:cs="Times New Roman"/>
          <w:b/>
          <w:sz w:val="24"/>
          <w:szCs w:val="24"/>
          <w:highlight w:val="none"/>
        </w:rPr>
        <w:cr/>
      </w:r>
    </w:p>
    <w:tbl>
      <w:tblPr>
        <w:tblStyle w:val="7"/>
        <w:tblW w:w="10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881"/>
        <w:gridCol w:w="1189"/>
        <w:gridCol w:w="1189"/>
        <w:gridCol w:w="1189"/>
        <w:gridCol w:w="1189"/>
        <w:gridCol w:w="1238"/>
        <w:gridCol w:w="1260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59" w:type="dxa"/>
            <w:vMerge w:val="restart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  <w:t>№</w:t>
            </w:r>
          </w:p>
        </w:tc>
        <w:tc>
          <w:tcPr>
            <w:tcW w:w="1881" w:type="dxa"/>
            <w:vMerge w:val="restart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  <w:lang w:val="en-US"/>
              </w:rPr>
              <w:t>Product name</w:t>
            </w:r>
          </w:p>
        </w:tc>
        <w:tc>
          <w:tcPr>
            <w:tcW w:w="2378" w:type="dxa"/>
            <w:gridSpan w:val="2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  <w:lang w:val="en-US"/>
              </w:rPr>
              <w:t>Limit amounts</w:t>
            </w:r>
          </w:p>
        </w:tc>
        <w:tc>
          <w:tcPr>
            <w:tcW w:w="2378" w:type="dxa"/>
            <w:gridSpan w:val="2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  <w:lang w:val="en-US"/>
              </w:rPr>
              <w:t>Limit terms</w:t>
            </w:r>
          </w:p>
        </w:tc>
        <w:tc>
          <w:tcPr>
            <w:tcW w:w="2498" w:type="dxa"/>
            <w:gridSpan w:val="2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  <w:lang w:val="en-US"/>
              </w:rPr>
              <w:t>Limit interest rates</w:t>
            </w: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  <w:t xml:space="preserve">, % </w:t>
            </w: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  <w:lang w:val="en-US"/>
              </w:rPr>
              <w:t>per annum</w:t>
            </w:r>
          </w:p>
        </w:tc>
        <w:tc>
          <w:tcPr>
            <w:tcW w:w="1283" w:type="dxa"/>
            <w:vMerge w:val="restart"/>
            <w:shd w:val="clear" w:color="auto" w:fill="FF0000"/>
            <w:vAlign w:val="top"/>
          </w:tcPr>
          <w:p>
            <w:pPr>
              <w:pStyle w:val="8"/>
              <w:tabs>
                <w:tab w:val="left" w:pos="0"/>
              </w:tabs>
              <w:wordWrap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  <w:lang w:val="en-US"/>
              </w:rPr>
              <w:t>AEIR rate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59" w:type="dxa"/>
            <w:vMerge w:val="continue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881" w:type="dxa"/>
            <w:vMerge w:val="continue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89" w:type="dxa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  <w:lang w:val="en-US"/>
              </w:rPr>
              <w:t>Min</w:t>
            </w:r>
          </w:p>
        </w:tc>
        <w:tc>
          <w:tcPr>
            <w:tcW w:w="1189" w:type="dxa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  <w:lang w:val="en-US"/>
              </w:rPr>
              <w:t>Max</w:t>
            </w:r>
          </w:p>
        </w:tc>
        <w:tc>
          <w:tcPr>
            <w:tcW w:w="1189" w:type="dxa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  <w:lang w:val="en-US"/>
              </w:rPr>
              <w:t>Min</w:t>
            </w:r>
          </w:p>
        </w:tc>
        <w:tc>
          <w:tcPr>
            <w:tcW w:w="1189" w:type="dxa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  <w:lang w:val="en-US"/>
              </w:rPr>
              <w:t>Max</w:t>
            </w:r>
          </w:p>
        </w:tc>
        <w:tc>
          <w:tcPr>
            <w:tcW w:w="1238" w:type="dxa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  <w:lang w:val="en-US"/>
              </w:rPr>
              <w:t>Min</w:t>
            </w:r>
          </w:p>
        </w:tc>
        <w:tc>
          <w:tcPr>
            <w:tcW w:w="1260" w:type="dxa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FFFFFF"/>
                <w:sz w:val="24"/>
                <w:szCs w:val="24"/>
                <w:highlight w:val="none"/>
                <w:lang w:val="en-US"/>
              </w:rPr>
              <w:t>Max</w:t>
            </w:r>
          </w:p>
        </w:tc>
        <w:tc>
          <w:tcPr>
            <w:tcW w:w="1283" w:type="dxa"/>
            <w:vMerge w:val="continue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FFFFFF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881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Demand deposit</w:t>
            </w:r>
          </w:p>
        </w:tc>
        <w:tc>
          <w:tcPr>
            <w:tcW w:w="1189" w:type="dxa"/>
            <w:vAlign w:val="top"/>
          </w:tcPr>
          <w:p>
            <w:pPr>
              <w:tabs>
                <w:tab w:val="left" w:pos="1100"/>
              </w:tabs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By agreement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parties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Unlimited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termless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90" w:leftChars="0" w:hanging="9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termless</w:t>
            </w:r>
          </w:p>
        </w:tc>
        <w:tc>
          <w:tcPr>
            <w:tcW w:w="1238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0%</w:t>
            </w:r>
          </w:p>
        </w:tc>
        <w:tc>
          <w:tcPr>
            <w:tcW w:w="1260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0%</w:t>
            </w:r>
          </w:p>
        </w:tc>
        <w:tc>
          <w:tcPr>
            <w:tcW w:w="1283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559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881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  <w:t>Contingent deposit “Liquidation fund”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Unlimited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Unlimited</w:t>
            </w:r>
          </w:p>
        </w:tc>
        <w:tc>
          <w:tcPr>
            <w:tcW w:w="2378" w:type="dxa"/>
            <w:gridSpan w:val="2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Unlimited Until the occurrence of certain events specified in the deposit agreement</w:t>
            </w:r>
          </w:p>
        </w:tc>
        <w:tc>
          <w:tcPr>
            <w:tcW w:w="1238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KZT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 xml:space="preserve"> 0%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hd w:val="clear"/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 xml:space="preserve">USD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ru-RU" w:eastAsia="zh-CN"/>
              </w:rPr>
              <w:t xml:space="preserve"> </w:t>
            </w:r>
          </w:p>
          <w:p>
            <w:pPr>
              <w:shd w:val="clear"/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0%</w:t>
            </w:r>
          </w:p>
        </w:tc>
        <w:tc>
          <w:tcPr>
            <w:tcW w:w="1260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 xml:space="preserve">KZT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Base rate of NBK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hd w:val="clear"/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 xml:space="preserve">USD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ru-RU" w:eastAsia="zh-CN"/>
              </w:rPr>
              <w:t xml:space="preserve"> </w:t>
            </w:r>
          </w:p>
          <w:p>
            <w:pPr>
              <w:shd w:val="clear"/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ru-RU" w:eastAsia="zh-CN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%</w:t>
            </w:r>
          </w:p>
        </w:tc>
        <w:tc>
          <w:tcPr>
            <w:tcW w:w="1283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KZT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ru-RU"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%-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</w:p>
          <w:p>
            <w:pPr>
              <w:shd w:val="clear"/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USD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lang w:val="ru-RU"/>
              </w:rPr>
              <w:t xml:space="preserve"> </w:t>
            </w:r>
          </w:p>
          <w:p>
            <w:pPr>
              <w:shd w:val="clear"/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ru-RU" w:eastAsia="zh-CN"/>
              </w:rPr>
              <w:t xml:space="preserve">0% - 5,5%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881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Conditional deposit in the escrow account mode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Unlimited </w:t>
            </w:r>
          </w:p>
        </w:tc>
        <w:tc>
          <w:tcPr>
            <w:tcW w:w="1189" w:type="dxa"/>
            <w:vAlign w:val="top"/>
          </w:tcPr>
          <w:p>
            <w:pPr>
              <w:tabs>
                <w:tab w:val="left" w:pos="840"/>
              </w:tabs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-251" w:rightChars="-114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Unlimited </w:t>
            </w:r>
          </w:p>
        </w:tc>
        <w:tc>
          <w:tcPr>
            <w:tcW w:w="2378" w:type="dxa"/>
            <w:gridSpan w:val="2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Unlimited Until the occurrence of certain events specified in the deposit agreement</w:t>
            </w:r>
          </w:p>
        </w:tc>
        <w:tc>
          <w:tcPr>
            <w:tcW w:w="1238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KZT 0,001 %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USD 0,001 %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EUR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0,001 %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CNY 0,001%</w:t>
            </w:r>
          </w:p>
        </w:tc>
        <w:tc>
          <w:tcPr>
            <w:tcW w:w="1260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 xml:space="preserve">KZT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Base rate of NBK +5%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 xml:space="preserve">USD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ru-RU" w:eastAsia="zh-CN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 xml:space="preserve"> 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EUR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CNY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15%</w:t>
            </w:r>
          </w:p>
        </w:tc>
        <w:tc>
          <w:tcPr>
            <w:tcW w:w="1283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KZT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0%-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USD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0%-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5,5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EUR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0%-5,5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CNY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0%-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17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9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881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Term deposit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By agreement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parties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Unlimited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Up to 1 month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Over 1 year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12 months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And more</w:t>
            </w:r>
          </w:p>
        </w:tc>
        <w:tc>
          <w:tcPr>
            <w:tcW w:w="1238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KZT 0,001 %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USD 0,001 %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CNY 0,001%</w:t>
            </w:r>
          </w:p>
        </w:tc>
        <w:tc>
          <w:tcPr>
            <w:tcW w:w="1260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 xml:space="preserve">KZT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Base rate of NBK +5%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 xml:space="preserve">USD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3 %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CNY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10%</w:t>
            </w:r>
          </w:p>
        </w:tc>
        <w:tc>
          <w:tcPr>
            <w:tcW w:w="1283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KZT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0%-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USD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</w:rPr>
              <w:t>0%-3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/>
              </w:rPr>
              <w:t>,5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CNY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</w:rPr>
              <w:t>0%-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/>
              </w:rPr>
              <w:t>12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559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3.1</w:t>
            </w:r>
          </w:p>
        </w:tc>
        <w:tc>
          <w:tcPr>
            <w:tcW w:w="1881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overnight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Unlimited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Unlimited</w:t>
            </w:r>
          </w:p>
        </w:tc>
        <w:tc>
          <w:tcPr>
            <w:tcW w:w="1189" w:type="dxa"/>
            <w:vAlign w:val="top"/>
          </w:tcPr>
          <w:p>
            <w:pPr>
              <w:wordWrap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 xml:space="preserve">1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/>
              </w:rPr>
              <w:t>day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89" w:type="dxa"/>
            <w:vAlign w:val="top"/>
          </w:tcPr>
          <w:p>
            <w:pPr>
              <w:wordWrap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 xml:space="preserve">1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/>
              </w:rPr>
              <w:t>day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38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KZT 0,001 %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USD 0,001 %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CNY 0,001%</w:t>
            </w:r>
          </w:p>
        </w:tc>
        <w:tc>
          <w:tcPr>
            <w:tcW w:w="1260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 xml:space="preserve"> KZT 1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 xml:space="preserve"> 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 xml:space="preserve">USD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 xml:space="preserve"> 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CNY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5%</w:t>
            </w:r>
          </w:p>
        </w:tc>
        <w:tc>
          <w:tcPr>
            <w:tcW w:w="1283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 xml:space="preserve"> KZT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</w:rPr>
              <w:t>0%- 1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USD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</w:rPr>
              <w:t>0%-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CNY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</w:rPr>
              <w:t>0%-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4.</w:t>
            </w:r>
          </w:p>
        </w:tc>
        <w:tc>
          <w:tcPr>
            <w:tcW w:w="1881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/>
              </w:rPr>
              <w:t>Loans</w:t>
            </w:r>
            <w:r>
              <w:rPr>
                <w:rFonts w:hint="default" w:cs="Times New Roman"/>
                <w:b w:val="0"/>
                <w:bCs/>
                <w:sz w:val="24"/>
                <w:szCs w:val="24"/>
                <w:highlight w:val="none"/>
                <w:lang w:val="en-US"/>
              </w:rPr>
              <w:t>, including under a credit line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By agreement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parties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Within the risk limit per 1 borrower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By agreement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parties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By agreement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parties</w:t>
            </w:r>
          </w:p>
        </w:tc>
        <w:tc>
          <w:tcPr>
            <w:tcW w:w="1238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USD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ru-RU" w:eastAsia="zh-CN"/>
              </w:rPr>
              <w:t xml:space="preserve"> - 0,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ru-RU" w:eastAsia="zh-CN"/>
              </w:rPr>
              <w:t xml:space="preserve">%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or SOFR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+ 0,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 xml:space="preserve">KZT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ru-RU" w:eastAsia="zh-CN"/>
              </w:rPr>
              <w:t xml:space="preserve">- not lower than the base rate of the National Bank of  Kazakhstan at the time of the decision to provide a loan to the borrower of the Bank's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authority body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eastAsia" w:ascii="Times New Roman" w:hAnsi="Times New Roman" w:eastAsia="SimSu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SimSu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CNY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ru-RU" w:eastAsia="zh-CN"/>
              </w:rPr>
              <w:t>0,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ru-RU" w:eastAsia="zh-CN"/>
              </w:rPr>
              <w:t xml:space="preserve">%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or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eastAsia" w:ascii="Times New Roman" w:hAnsi="Times New Roman" w:eastAsia="SimSu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Shibor +0.1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eastAsia" w:ascii="Times New Roman" w:hAnsi="Times New Roman" w:eastAsia="SimSu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SimSu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EUR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ru-RU" w:eastAsia="zh-CN"/>
              </w:rPr>
              <w:t>0,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ru-RU" w:eastAsia="zh-CN"/>
              </w:rPr>
              <w:t xml:space="preserve">%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or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eastAsia" w:ascii="Times New Roman" w:hAnsi="Times New Roman" w:eastAsia="SimSu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Euribor +0.1% </w:t>
            </w:r>
          </w:p>
        </w:tc>
        <w:tc>
          <w:tcPr>
            <w:tcW w:w="1260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 xml:space="preserve">USD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ru-RU" w:eastAsia="zh-CN"/>
              </w:rPr>
              <w:t>- 1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ru-RU" w:eastAsia="zh-CN"/>
              </w:rPr>
              <w:t xml:space="preserve">%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or SOFR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+ 10%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 xml:space="preserve">KZT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ru-RU" w:eastAsia="zh-CN"/>
              </w:rPr>
              <w:t xml:space="preserve">-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%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or base rate of NBK  at the time of the adoption of the Decision by the AB of the Bank +10%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CNY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>30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ru-RU" w:eastAsia="zh-CN"/>
              </w:rPr>
              <w:t xml:space="preserve">%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or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Shibor +10%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EUR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>30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ru-RU" w:eastAsia="zh-CN"/>
              </w:rPr>
              <w:t xml:space="preserve">%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or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Euribor +10%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83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 xml:space="preserve">USD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ru-RU" w:eastAsia="zh-CN"/>
              </w:rPr>
              <w:t>- 0,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ru-RU" w:eastAsia="zh-CN"/>
              </w:rPr>
              <w:t xml:space="preserve">% -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ru-RU" w:eastAsia="zh-CN"/>
              </w:rPr>
              <w:t xml:space="preserve">%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KZT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ru-RU" w:eastAsia="zh-CN"/>
              </w:rPr>
              <w:t xml:space="preserve"> -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%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50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%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(at the same time, for bank loans secured by collateral, AEIR is up to 40%).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 xml:space="preserve"> 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Times New Roman"/>
                <w:color w:val="auto"/>
                <w:sz w:val="24"/>
                <w:szCs w:val="24"/>
                <w:highlight w:val="none"/>
                <w:lang w:val="en-US"/>
              </w:rPr>
              <w:t xml:space="preserve">CNY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 xml:space="preserve">0,1% - 36%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  <w:t>EUR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ru-RU" w:eastAsia="zh-CN"/>
              </w:rPr>
              <w:t xml:space="preserve">0,1% -36%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right="66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 xml:space="preserve">        </w:t>
            </w:r>
          </w:p>
        </w:tc>
      </w:tr>
    </w:tbl>
    <w:p>
      <w:pPr>
        <w:jc w:val="both"/>
        <w:rPr>
          <w:sz w:val="24"/>
          <w:szCs w:val="24"/>
          <w:highlight w:val="none"/>
        </w:rPr>
      </w:pPr>
    </w:p>
    <w:sectPr>
      <w:headerReference r:id="rId3" w:type="default"/>
      <w:footerReference r:id="rId4" w:type="default"/>
      <w:pgSz w:w="11906" w:h="16838"/>
      <w:pgMar w:top="567" w:right="566" w:bottom="567" w:left="567" w:header="708" w:footer="709" w:gutter="0"/>
      <w:pgNumType w:fmt="decimal" w:start="1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SimSun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auto"/>
    <w:pitch w:val="default"/>
    <w:sig w:usb0="E00006FF" w:usb1="420024FF" w:usb2="0200000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Calibri" w:cs="Times New Roman"/>
        <w:sz w:val="18"/>
        <w:szCs w:val="18"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OqXm5zwAAAAUBAAAPAAAAAAAAAAEAIAAAACIAAABk&#10;cnMvZG93bnJldi54bWxQSwECFAAUAAAACACHTuJAugDcHp0BAABKAwAADgAAAAAAAAABACAAAAAe&#10;AQAAZHJzL2Uyb0RvYy54bWxQSwUGAAAAAAYABgBZAQAAL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val="en-US"/>
                      </w:rPr>
                    </w:pPr>
                    <w:r>
                      <w:rPr>
                        <w:sz w:val="18"/>
                        <w:lang w:val="en-US"/>
                      </w:rPr>
                      <w:fldChar w:fldCharType="begin"/>
                    </w:r>
                    <w:r>
                      <w:rPr>
                        <w:sz w:val="18"/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lang w:val="en-US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adjustRightInd/>
      <w:snapToGrid w:val="0"/>
      <w:spacing w:after="0" w:afterLines="0" w:line="240" w:lineRule="auto"/>
      <w:ind w:left="0" w:leftChars="0" w:right="0" w:firstLine="0" w:firstLineChars="0"/>
      <w:jc w:val="right"/>
      <w:textAlignment w:val="auto"/>
      <w:outlineLvl w:val="9"/>
      <w:rPr>
        <w:rFonts w:hint="default" w:ascii="Times New Roman" w:hAnsi="Times New Roman" w:cs="Times New Roman"/>
        <w:b w:val="0"/>
        <w:bCs w:val="0"/>
        <w:color w:val="auto"/>
        <w:sz w:val="20"/>
        <w:szCs w:val="20"/>
        <w:lang w:val="ru-RU"/>
      </w:rPr>
    </w:pPr>
    <w:r>
      <w:rPr>
        <w:rFonts w:hint="default" w:ascii="Times New Roman" w:hAnsi="Times New Roman" w:cs="Times New Roman"/>
        <w:color w:val="auto"/>
        <w:sz w:val="20"/>
        <w:szCs w:val="20"/>
        <w:lang w:val="ru-RU"/>
      </w:rPr>
      <w:t xml:space="preserve">Appendix No. </w:t>
    </w:r>
    <w:r>
      <w:rPr>
        <w:rFonts w:hint="default" w:ascii="Times New Roman" w:hAnsi="Times New Roman" w:cs="Times New Roman"/>
        <w:color w:val="auto"/>
        <w:sz w:val="20"/>
        <w:szCs w:val="20"/>
        <w:lang w:val="en-US"/>
      </w:rPr>
      <w:t xml:space="preserve">1 </w:t>
    </w:r>
    <w:r>
      <w:rPr>
        <w:rFonts w:hint="default" w:ascii="Times New Roman" w:hAnsi="Times New Roman" w:cs="Times New Roman"/>
        <w:b w:val="0"/>
        <w:bCs w:val="0"/>
        <w:color w:val="auto"/>
        <w:sz w:val="20"/>
        <w:szCs w:val="20"/>
        <w:lang w:val="ru-RU"/>
      </w:rPr>
      <w:t xml:space="preserve"> </w:t>
    </w:r>
  </w:p>
  <w:p>
    <w:pPr>
      <w:pStyle w:val="4"/>
      <w:widowControl/>
      <w:adjustRightInd/>
      <w:snapToGrid w:val="0"/>
      <w:spacing w:after="0" w:afterLines="0" w:line="240" w:lineRule="auto"/>
      <w:ind w:left="0" w:leftChars="0" w:right="0" w:firstLine="0" w:firstLineChars="0"/>
      <w:jc w:val="right"/>
      <w:textAlignment w:val="auto"/>
      <w:outlineLvl w:val="9"/>
      <w:rPr>
        <w:rFonts w:hint="default" w:ascii="Times New Roman" w:hAnsi="Times New Roman" w:cs="Times New Roman"/>
        <w:color w:val="auto"/>
        <w:sz w:val="20"/>
        <w:szCs w:val="20"/>
        <w:highlight w:val="none"/>
        <w:lang w:val="en-US"/>
      </w:rPr>
    </w:pPr>
    <w:r>
      <w:rPr>
        <w:rFonts w:hint="default" w:ascii="Times New Roman" w:hAnsi="Times New Roman" w:cs="Times New Roman"/>
        <w:b w:val="0"/>
        <w:bCs w:val="0"/>
        <w:color w:val="auto"/>
        <w:sz w:val="20"/>
        <w:szCs w:val="20"/>
        <w:lang w:val="en-US"/>
      </w:rPr>
      <w:t xml:space="preserve">to the </w:t>
    </w:r>
    <w:r>
      <w:rPr>
        <w:rFonts w:hint="default" w:ascii="Times New Roman" w:hAnsi="Times New Roman" w:cs="Times New Roman"/>
        <w:color w:val="auto"/>
        <w:sz w:val="20"/>
        <w:szCs w:val="20"/>
        <w:lang w:val="en-US"/>
      </w:rPr>
      <w:t xml:space="preserve">Rules on the general conditions for </w:t>
    </w:r>
    <w:r>
      <w:rPr>
        <w:rFonts w:hint="default" w:ascii="Times New Roman" w:hAnsi="Times New Roman" w:cs="Times New Roman"/>
        <w:color w:val="auto"/>
        <w:sz w:val="20"/>
        <w:szCs w:val="20"/>
        <w:highlight w:val="none"/>
        <w:lang w:val="en-US"/>
      </w:rPr>
      <w:t>conducting banking</w:t>
    </w:r>
    <w:r>
      <w:rPr>
        <w:rFonts w:hint="default" w:ascii="Times New Roman" w:hAnsi="Times New Roman" w:cs="Times New Roman"/>
        <w:color w:val="auto"/>
        <w:sz w:val="20"/>
        <w:szCs w:val="20"/>
        <w:highlight w:val="none"/>
        <w:lang w:val="ru-RU"/>
      </w:rPr>
      <w:t xml:space="preserve"> </w:t>
    </w:r>
    <w:r>
      <w:rPr>
        <w:rFonts w:hint="default" w:ascii="Times New Roman" w:hAnsi="Times New Roman" w:cs="Times New Roman"/>
        <w:color w:val="auto"/>
        <w:sz w:val="20"/>
        <w:szCs w:val="20"/>
        <w:highlight w:val="none"/>
        <w:lang w:val="en-US"/>
      </w:rPr>
      <w:t>operations</w:t>
    </w:r>
    <w:r>
      <w:rPr>
        <w:rFonts w:hint="default" w:ascii="Times New Roman" w:hAnsi="Times New Roman" w:cs="Times New Roman"/>
        <w:color w:val="auto"/>
        <w:sz w:val="20"/>
        <w:szCs w:val="20"/>
        <w:highlight w:val="none"/>
        <w:lang w:val="ru-RU"/>
      </w:rPr>
      <w:t xml:space="preserve"> </w:t>
    </w:r>
    <w:r>
      <w:rPr>
        <w:rFonts w:hint="default" w:ascii="Times New Roman" w:hAnsi="Times New Roman" w:cs="Times New Roman"/>
        <w:color w:val="auto"/>
        <w:sz w:val="20"/>
        <w:szCs w:val="20"/>
        <w:highlight w:val="none"/>
        <w:lang w:val="en-US"/>
      </w:rPr>
      <w:t xml:space="preserve">of  </w:t>
    </w:r>
  </w:p>
  <w:p>
    <w:pPr>
      <w:pStyle w:val="4"/>
      <w:widowControl/>
      <w:adjustRightInd/>
      <w:snapToGrid w:val="0"/>
      <w:spacing w:after="0" w:afterLines="0" w:line="240" w:lineRule="auto"/>
      <w:ind w:left="0" w:leftChars="0" w:right="0" w:firstLine="0" w:firstLineChars="0"/>
      <w:jc w:val="right"/>
      <w:textAlignment w:val="auto"/>
      <w:outlineLvl w:val="9"/>
      <w:rPr>
        <w:rFonts w:ascii="Cambria" w:hAnsi="Cambria"/>
        <w:sz w:val="20"/>
        <w:szCs w:val="20"/>
        <w:highlight w:val="none"/>
      </w:rPr>
    </w:pPr>
    <w:r>
      <w:rPr>
        <w:rFonts w:hint="default" w:ascii="Times New Roman" w:hAnsi="Times New Roman" w:cs="Times New Roman"/>
        <w:color w:val="auto"/>
        <w:sz w:val="20"/>
        <w:szCs w:val="20"/>
        <w:highlight w:val="none"/>
        <w:lang w:val="en-US"/>
      </w:rPr>
      <w:t>“Commercial and Industrial Bank of China in</w:t>
    </w:r>
    <w:r>
      <w:rPr>
        <w:rFonts w:hint="default" w:ascii="Times New Roman" w:hAnsi="Times New Roman" w:cs="Times New Roman"/>
        <w:color w:val="auto"/>
        <w:sz w:val="20"/>
        <w:szCs w:val="20"/>
        <w:highlight w:val="none"/>
        <w:lang w:val="ru-RU"/>
      </w:rPr>
      <w:t xml:space="preserve"> </w:t>
    </w:r>
    <w:r>
      <w:rPr>
        <w:rFonts w:hint="default" w:ascii="Times New Roman" w:hAnsi="Times New Roman" w:cs="Times New Roman"/>
        <w:color w:val="auto"/>
        <w:sz w:val="20"/>
        <w:szCs w:val="20"/>
        <w:highlight w:val="none"/>
        <w:lang w:val="en-US"/>
      </w:rPr>
      <w:t>Almaty” JSC</w:t>
    </w:r>
    <w:r>
      <w:rPr>
        <w:rFonts w:hint="default" w:ascii="Times New Roman" w:hAnsi="Times New Roman" w:cs="Times New Roman"/>
        <w:color w:val="auto"/>
        <w:sz w:val="20"/>
        <w:szCs w:val="20"/>
        <w:highlight w:val="none"/>
        <w:lang w:val="ru-RU"/>
      </w:rPr>
      <w:t xml:space="preserve"> </w:t>
    </w:r>
  </w:p>
  <w:p>
    <w:pPr>
      <w:pStyle w:val="4"/>
      <w:widowControl/>
      <w:wordWrap w:val="0"/>
      <w:adjustRightInd/>
      <w:snapToGrid w:val="0"/>
      <w:spacing w:after="0" w:afterLines="0" w:line="240" w:lineRule="auto"/>
      <w:ind w:left="0" w:leftChars="0" w:right="0" w:firstLine="0" w:firstLineChars="0"/>
      <w:jc w:val="right"/>
      <w:textAlignment w:val="auto"/>
      <w:outlineLvl w:val="9"/>
      <w:rPr>
        <w:rFonts w:ascii="Cambria" w:hAnsi="Cambria"/>
        <w:sz w:val="20"/>
        <w:szCs w:val="20"/>
        <w:highlight w:val="none"/>
      </w:rPr>
    </w:pPr>
    <w:r>
      <w:rPr>
        <w:rFonts w:hint="default" w:ascii="Cambria" w:hAnsi="Cambria"/>
        <w:sz w:val="20"/>
        <w:szCs w:val="20"/>
        <w:highlight w:val="none"/>
        <w:lang w:val="en-US"/>
      </w:rPr>
      <w:t xml:space="preserve">approved by the Board of Directors of the Bank dated August 8, </w:t>
    </w:r>
    <w:r>
      <w:rPr>
        <w:rFonts w:ascii="Cambria" w:hAnsi="Cambria"/>
        <w:sz w:val="20"/>
        <w:szCs w:val="20"/>
        <w:highlight w:val="none"/>
      </w:rPr>
      <w:t>20</w:t>
    </w:r>
    <w:r>
      <w:rPr>
        <w:rFonts w:hint="default" w:ascii="Cambria" w:hAnsi="Cambria"/>
        <w:sz w:val="20"/>
        <w:szCs w:val="20"/>
        <w:highlight w:val="none"/>
        <w:lang w:val="en-US"/>
      </w:rPr>
      <w:t>23</w:t>
    </w:r>
    <w:r>
      <w:rPr>
        <w:rFonts w:ascii="Cambria" w:hAnsi="Cambria"/>
        <w:sz w:val="20"/>
        <w:szCs w:val="20"/>
        <w:highlight w:val="none"/>
      </w:rPr>
      <w:t xml:space="preserve"> (</w:t>
    </w:r>
    <w:r>
      <w:rPr>
        <w:rFonts w:hint="default" w:ascii="Cambria" w:hAnsi="Cambria"/>
        <w:sz w:val="20"/>
        <w:szCs w:val="20"/>
        <w:highlight w:val="none"/>
        <w:lang w:val="en-US"/>
      </w:rPr>
      <w:t>minutes</w:t>
    </w:r>
    <w:r>
      <w:rPr>
        <w:rFonts w:ascii="Cambria" w:hAnsi="Cambria"/>
        <w:sz w:val="20"/>
        <w:szCs w:val="20"/>
        <w:highlight w:val="none"/>
      </w:rPr>
      <w:t xml:space="preserve"> №</w:t>
    </w:r>
    <w:r>
      <w:rPr>
        <w:rFonts w:hint="default" w:ascii="Cambria" w:hAnsi="Cambria"/>
        <w:sz w:val="20"/>
        <w:szCs w:val="20"/>
        <w:highlight w:val="none"/>
        <w:lang w:val="en-US"/>
      </w:rPr>
      <w:t>6</w:t>
    </w:r>
    <w:r>
      <w:rPr>
        <w:rFonts w:ascii="Cambria" w:hAnsi="Cambria"/>
        <w:sz w:val="20"/>
        <w:szCs w:val="20"/>
        <w:highlight w:val="none"/>
      </w:rPr>
      <w:t>)</w:t>
    </w:r>
  </w:p>
  <w:p>
    <w:pPr>
      <w:pStyle w:val="4"/>
      <w:widowControl/>
      <w:wordWrap/>
      <w:adjustRightInd/>
      <w:snapToGrid w:val="0"/>
      <w:spacing w:after="0" w:line="240" w:lineRule="auto"/>
      <w:ind w:left="0" w:leftChars="0" w:right="0" w:firstLine="0" w:firstLineChars="0"/>
      <w:jc w:val="right"/>
      <w:textAlignment w:val="auto"/>
      <w:outlineLvl w:val="9"/>
      <w:rPr>
        <w:rFonts w:ascii="Cambria" w:hAnsi="Cambri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79"/>
    <w:rsid w:val="0004302D"/>
    <w:rsid w:val="001C4870"/>
    <w:rsid w:val="002A5893"/>
    <w:rsid w:val="002C6F79"/>
    <w:rsid w:val="002E5D12"/>
    <w:rsid w:val="00460D6A"/>
    <w:rsid w:val="006A72AA"/>
    <w:rsid w:val="00834691"/>
    <w:rsid w:val="009229C8"/>
    <w:rsid w:val="00D56780"/>
    <w:rsid w:val="00EB7DC4"/>
    <w:rsid w:val="00F23C69"/>
    <w:rsid w:val="04E25C1A"/>
    <w:rsid w:val="09F22184"/>
    <w:rsid w:val="09FB2AD5"/>
    <w:rsid w:val="0F581C21"/>
    <w:rsid w:val="115A4780"/>
    <w:rsid w:val="12BB3788"/>
    <w:rsid w:val="174F4D3E"/>
    <w:rsid w:val="1AE721BE"/>
    <w:rsid w:val="1BCE32EC"/>
    <w:rsid w:val="1D003E74"/>
    <w:rsid w:val="1E034AB8"/>
    <w:rsid w:val="212B3AC1"/>
    <w:rsid w:val="21946601"/>
    <w:rsid w:val="21F12001"/>
    <w:rsid w:val="24624C33"/>
    <w:rsid w:val="26552656"/>
    <w:rsid w:val="28FE1BAD"/>
    <w:rsid w:val="297E5584"/>
    <w:rsid w:val="2D6A5F01"/>
    <w:rsid w:val="340F3D0D"/>
    <w:rsid w:val="3C1B35EE"/>
    <w:rsid w:val="42923B75"/>
    <w:rsid w:val="43CD1CC7"/>
    <w:rsid w:val="46CF2404"/>
    <w:rsid w:val="4A4C513E"/>
    <w:rsid w:val="55397537"/>
    <w:rsid w:val="57D74805"/>
    <w:rsid w:val="5D4D6B91"/>
    <w:rsid w:val="60DA61DB"/>
    <w:rsid w:val="66950AA3"/>
    <w:rsid w:val="681A0BF7"/>
    <w:rsid w:val="69D959B6"/>
    <w:rsid w:val="71760BA6"/>
    <w:rsid w:val="77097EC3"/>
    <w:rsid w:val="79096AEA"/>
    <w:rsid w:val="792A020F"/>
    <w:rsid w:val="7A6F309C"/>
    <w:rsid w:val="7BE85ED0"/>
    <w:rsid w:val="7FDD53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0"/>
    <w:pPr>
      <w:jc w:val="left"/>
    </w:p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Normal1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Times New Roman" w:cs="Times New Roman"/>
      <w:kern w:val="2"/>
      <w:sz w:val="21"/>
      <w:szCs w:val="21"/>
      <w:lang w:val="en-US" w:eastAsia="zh-CN" w:bidi="ar-SA"/>
    </w:rPr>
  </w:style>
  <w:style w:type="table" w:customStyle="1" w:styleId="9">
    <w:name w:val="_Style 8"/>
    <w:basedOn w:val="10"/>
    <w:qFormat/>
    <w:uiPriority w:val="0"/>
    <w:tblPr>
      <w:tblCellMar>
        <w:left w:w="115" w:type="dxa"/>
        <w:right w:w="115" w:type="dxa"/>
      </w:tblCellMar>
    </w:tblPr>
  </w:style>
  <w:style w:type="table" w:customStyle="1" w:styleId="10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432</Characters>
  <Lines>3</Lines>
  <Paragraphs>1</Paragraphs>
  <TotalTime>33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2019-07-25T03:12:00Z</dcterms:created>
  <dc:creator>Danat Muratkhanov</dc:creator>
  <cp:lastModifiedBy>hwal-moldybayeva</cp:lastModifiedBy>
  <cp:lastPrinted>2023-06-06T04:52:00Z</cp:lastPrinted>
  <dcterms:modified xsi:type="dcterms:W3CDTF">2023-08-11T06:37:07Z</dcterms:modified>
  <dc:title>_x0001_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1033-11.8.2.8808</vt:lpwstr>
  </property>
</Properties>
</file>