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BB" w:rsidRDefault="00E03BBB" w:rsidP="00E03BBB">
      <w:pPr>
        <w:jc w:val="left"/>
        <w:rPr>
          <w:rFonts w:ascii="宋体" w:eastAsia="宋体" w:hAnsi="宋体" w:hint="default"/>
          <w:b/>
          <w:szCs w:val="21"/>
        </w:rPr>
      </w:pPr>
      <w:r w:rsidRPr="00E03BBB">
        <w:rPr>
          <w:rFonts w:ascii="宋体" w:eastAsia="宋体" w:hAnsi="宋体"/>
          <w:b/>
          <w:noProof/>
          <w:szCs w:val="21"/>
        </w:rPr>
        <w:drawing>
          <wp:inline distT="0" distB="0" distL="0" distR="0">
            <wp:extent cx="3556172" cy="435586"/>
            <wp:effectExtent l="19050" t="0" r="6178" b="0"/>
            <wp:docPr id="1" name="Picture 1" descr="C:\Users\hwhn-lich\AppData\Roaming\Cm\CMClient\temp\noview\acc_1689138123\mail_2342\attach\河内分行5.jpg"/>
            <wp:cNvGraphicFramePr/>
            <a:graphic xmlns:a="http://schemas.openxmlformats.org/drawingml/2006/main">
              <a:graphicData uri="http://schemas.openxmlformats.org/drawingml/2006/picture">
                <pic:pic xmlns:pic="http://schemas.openxmlformats.org/drawingml/2006/picture">
                  <pic:nvPicPr>
                    <pic:cNvPr id="0" name="Picture 1" descr="C:\Users\hwhn-lich\AppData\Roaming\Cm\CMClient\temp\noview\acc_1689138123\mail_2342\attach\河内分行5.jpg"/>
                    <pic:cNvPicPr>
                      <a:picLocks noChangeAspect="1" noChangeArrowheads="1"/>
                    </pic:cNvPicPr>
                  </pic:nvPicPr>
                  <pic:blipFill>
                    <a:blip r:embed="rId7" cstate="print"/>
                    <a:srcRect/>
                    <a:stretch>
                      <a:fillRect/>
                    </a:stretch>
                  </pic:blipFill>
                  <pic:spPr bwMode="auto">
                    <a:xfrm>
                      <a:off x="0" y="0"/>
                      <a:ext cx="3582811" cy="438849"/>
                    </a:xfrm>
                    <a:prstGeom prst="rect">
                      <a:avLst/>
                    </a:prstGeom>
                    <a:noFill/>
                    <a:ln w="9525">
                      <a:noFill/>
                      <a:miter lim="800000"/>
                      <a:headEnd/>
                      <a:tailEnd/>
                    </a:ln>
                  </pic:spPr>
                </pic:pic>
              </a:graphicData>
            </a:graphic>
          </wp:inline>
        </w:drawing>
      </w:r>
    </w:p>
    <w:p w:rsidR="00E03BBB" w:rsidRPr="00E03BBB" w:rsidRDefault="00E03BBB" w:rsidP="00E03BBB">
      <w:pPr>
        <w:jc w:val="left"/>
        <w:rPr>
          <w:rFonts w:ascii="宋体" w:eastAsia="宋体" w:hAnsi="宋体" w:hint="default"/>
          <w:b/>
          <w:sz w:val="24"/>
          <w:szCs w:val="24"/>
        </w:rPr>
      </w:pPr>
    </w:p>
    <w:p w:rsidR="007546A0" w:rsidRPr="008E53E2" w:rsidRDefault="007546A0" w:rsidP="00E03BBB">
      <w:pPr>
        <w:jc w:val="center"/>
        <w:rPr>
          <w:rFonts w:ascii="宋体" w:eastAsia="宋体" w:hAnsi="宋体" w:hint="default"/>
          <w:b/>
          <w:sz w:val="40"/>
          <w:szCs w:val="36"/>
        </w:rPr>
      </w:pPr>
      <w:r w:rsidRPr="008E53E2">
        <w:rPr>
          <w:rFonts w:ascii="宋体" w:eastAsia="宋体" w:hAnsi="宋体"/>
          <w:b/>
          <w:sz w:val="40"/>
          <w:szCs w:val="36"/>
        </w:rPr>
        <w:t>河内分行定期存款账户</w:t>
      </w:r>
      <w:r w:rsidR="005472D0">
        <w:rPr>
          <w:rFonts w:ascii="宋体" w:eastAsia="宋体" w:hAnsi="宋体"/>
          <w:b/>
          <w:sz w:val="40"/>
          <w:szCs w:val="36"/>
        </w:rPr>
        <w:t>收支</w:t>
      </w:r>
      <w:r w:rsidRPr="008E53E2">
        <w:rPr>
          <w:rFonts w:ascii="宋体" w:eastAsia="宋体" w:hAnsi="宋体"/>
          <w:b/>
          <w:sz w:val="40"/>
          <w:szCs w:val="36"/>
        </w:rPr>
        <w:t>操作规程</w:t>
      </w:r>
    </w:p>
    <w:p w:rsidR="007546A0" w:rsidRPr="008E53E2" w:rsidRDefault="007546A0" w:rsidP="00E03BBB">
      <w:pPr>
        <w:jc w:val="center"/>
        <w:rPr>
          <w:rFonts w:ascii="宋体" w:eastAsia="宋体" w:hAnsi="宋体" w:hint="default"/>
          <w:b/>
          <w:sz w:val="40"/>
          <w:szCs w:val="36"/>
        </w:rPr>
      </w:pPr>
      <w:r w:rsidRPr="008E53E2">
        <w:rPr>
          <w:rFonts w:ascii="宋体" w:eastAsia="宋体" w:hAnsi="宋体"/>
          <w:b/>
          <w:sz w:val="40"/>
          <w:szCs w:val="36"/>
        </w:rPr>
        <w:t>（</w:t>
      </w:r>
      <w:r w:rsidR="00DA536F" w:rsidRPr="008E53E2">
        <w:rPr>
          <w:rFonts w:ascii="宋体" w:eastAsia="宋体" w:hAnsi="宋体"/>
          <w:b/>
          <w:sz w:val="40"/>
          <w:szCs w:val="36"/>
        </w:rPr>
        <w:t>20</w:t>
      </w:r>
      <w:r w:rsidR="00780D94">
        <w:rPr>
          <w:rFonts w:ascii="宋体" w:eastAsia="宋体" w:hAnsi="宋体"/>
          <w:b/>
          <w:sz w:val="40"/>
          <w:szCs w:val="36"/>
        </w:rPr>
        <w:t>19</w:t>
      </w:r>
      <w:r w:rsidRPr="008E53E2">
        <w:rPr>
          <w:rFonts w:ascii="宋体" w:eastAsia="宋体" w:hAnsi="宋体"/>
          <w:b/>
          <w:sz w:val="40"/>
          <w:szCs w:val="36"/>
        </w:rPr>
        <w:t>年版）</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第一条</w:t>
      </w:r>
      <w:r w:rsidRPr="008E53E2">
        <w:rPr>
          <w:rFonts w:ascii="宋体" w:eastAsia="宋体" w:hAnsi="宋体"/>
          <w:sz w:val="24"/>
          <w:szCs w:val="24"/>
        </w:rPr>
        <w:t xml:space="preserve"> 定期存款账户办理对象</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一、居民的组织或个人；</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二、非居民，包括：</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（一）外交机构、领事馆、驻越南的国际组织代表机构或代表处、在越南的国外组织项目办事处；</w:t>
      </w:r>
    </w:p>
    <w:p w:rsidR="008E53E2" w:rsidRPr="008E53E2" w:rsidRDefault="008E53E2" w:rsidP="008E53E2">
      <w:pPr>
        <w:spacing w:line="320" w:lineRule="exact"/>
        <w:ind w:left="720"/>
        <w:rPr>
          <w:rFonts w:ascii="宋体" w:eastAsia="宋体" w:hAnsi="宋体" w:hint="default"/>
          <w:sz w:val="24"/>
          <w:szCs w:val="24"/>
        </w:rPr>
      </w:pPr>
      <w:r w:rsidRPr="008E53E2">
        <w:rPr>
          <w:rFonts w:ascii="宋体" w:eastAsia="宋体" w:hAnsi="宋体"/>
          <w:sz w:val="24"/>
          <w:szCs w:val="24"/>
        </w:rPr>
        <w:t>（二）未在《外汇管理办法》（修正版）第四条第二款（e）及（g）项中规定的越南公民；（三）被允许在越南居住六个月以上的外国人。</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第二条</w:t>
      </w:r>
      <w:r w:rsidRPr="008E53E2">
        <w:rPr>
          <w:rFonts w:ascii="宋体" w:eastAsia="宋体" w:hAnsi="宋体"/>
          <w:sz w:val="24"/>
          <w:szCs w:val="24"/>
        </w:rPr>
        <w:t xml:space="preserve"> 定期存款的办理原则 </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一、客户只能通过本人的结算账户进行开立或支取定期存款；</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二、客户应以本人名义或通过其法定代理人在银行的指导下依法开立或支取定期存款。若客户是法律能力有限或丧失法律责任的人或15岁以下的人，应通过其法定代理人开立或支取定期存款。如果客户是认识能力和控制行为有限的人，应通过其监护人（以下简称法定代理人）进行开立或支取定期存款；</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三、存款期限由银行与客户之间协商确定。对于非居民的外国组织、个人或居民的外国个人，存款期限不得超过身份证件和公司信息证件的剩余有效期（“居民和非居民的外国人身份证件”是指由越南有权机构签发的特定在越南居住期限的有效签证或其他文件、“公司身份信息证件”是指依据法律规定的成立决定书、营业许可证，商业执照或任何其他同等证件）；</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 xml:space="preserve">四、用于支取定期存款本息的货币是客户开立存款使用的货币。 </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第三条</w:t>
      </w:r>
      <w:r w:rsidRPr="008E53E2">
        <w:rPr>
          <w:rFonts w:ascii="宋体" w:eastAsia="宋体" w:hAnsi="宋体"/>
          <w:sz w:val="24"/>
          <w:szCs w:val="24"/>
        </w:rPr>
        <w:t xml:space="preserve"> 定期存款利率 </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 xml:space="preserve">一、银行设定定期存款的利率应符合越南央行利率的规定并在银行交易场所和网站对外公布； </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二、定期存款利息计算方法应符合越南央行的规定。</w:t>
      </w:r>
      <w:r w:rsidR="005C5540">
        <w:rPr>
          <w:rFonts w:ascii="宋体" w:eastAsia="宋体" w:hAnsi="宋体"/>
          <w:sz w:val="24"/>
          <w:szCs w:val="24"/>
        </w:rPr>
        <w:t>；</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三、到期支付利息方式应根据银行与客户之间的协议执行，包括到期本息一并转存、到期本金转存，利息转入结算账户、到期本息转入结算账户。</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第四条</w:t>
      </w:r>
      <w:r w:rsidRPr="008E53E2">
        <w:rPr>
          <w:rFonts w:ascii="宋体" w:eastAsia="宋体" w:hAnsi="宋体"/>
          <w:sz w:val="24"/>
          <w:szCs w:val="24"/>
        </w:rPr>
        <w:t xml:space="preserve"> 定期存款币种</w:t>
      </w:r>
    </w:p>
    <w:p w:rsidR="008E53E2" w:rsidRPr="008E53E2" w:rsidRDefault="005C5540" w:rsidP="008E53E2">
      <w:pPr>
        <w:spacing w:line="320" w:lineRule="exact"/>
        <w:ind w:firstLine="720"/>
        <w:rPr>
          <w:rFonts w:ascii="宋体" w:eastAsia="宋体" w:hAnsi="宋体" w:hint="default"/>
          <w:sz w:val="24"/>
          <w:szCs w:val="24"/>
        </w:rPr>
      </w:pPr>
      <w:r>
        <w:rPr>
          <w:rFonts w:ascii="宋体" w:eastAsia="宋体" w:hAnsi="宋体"/>
          <w:sz w:val="24"/>
          <w:szCs w:val="24"/>
        </w:rPr>
        <w:t>定期存款币种为越南盾</w:t>
      </w:r>
      <w:r w:rsidR="008E53E2" w:rsidRPr="008E53E2">
        <w:rPr>
          <w:rFonts w:ascii="宋体" w:eastAsia="宋体" w:hAnsi="宋体"/>
          <w:sz w:val="24"/>
          <w:szCs w:val="24"/>
        </w:rPr>
        <w:t>和美金。</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第五条</w:t>
      </w:r>
      <w:r w:rsidRPr="008E53E2">
        <w:rPr>
          <w:rFonts w:ascii="宋体" w:eastAsia="宋体" w:hAnsi="宋体"/>
          <w:sz w:val="24"/>
          <w:szCs w:val="24"/>
        </w:rPr>
        <w:t xml:space="preserve"> 查询定期存款账户情况和通知定期存款变更的方法 </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一、客户</w:t>
      </w:r>
      <w:r w:rsidR="005C5540">
        <w:rPr>
          <w:rFonts w:ascii="宋体" w:eastAsia="宋体" w:hAnsi="宋体"/>
          <w:sz w:val="24"/>
          <w:szCs w:val="24"/>
        </w:rPr>
        <w:t>可以</w:t>
      </w:r>
      <w:r w:rsidRPr="008E53E2">
        <w:rPr>
          <w:rFonts w:ascii="宋体" w:eastAsia="宋体" w:hAnsi="宋体"/>
          <w:sz w:val="24"/>
          <w:szCs w:val="24"/>
        </w:rPr>
        <w:t>通过柜台、网上银行和对账单等</w:t>
      </w:r>
      <w:r w:rsidR="005C5540">
        <w:rPr>
          <w:rFonts w:ascii="宋体" w:eastAsia="宋体" w:hAnsi="宋体"/>
          <w:sz w:val="24"/>
          <w:szCs w:val="24"/>
        </w:rPr>
        <w:t>渠道</w:t>
      </w:r>
      <w:r w:rsidRPr="008E53E2">
        <w:rPr>
          <w:rFonts w:ascii="宋体" w:eastAsia="宋体" w:hAnsi="宋体"/>
          <w:sz w:val="24"/>
          <w:szCs w:val="24"/>
        </w:rPr>
        <w:t>查询定期存款账户情况；</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 xml:space="preserve">二、除了本条第一款规定的渠道以外，银行和客户可以商议使用其他渠道让客户查询定期存款，并在定期存款发生变更时通知客户。 </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第六条</w:t>
      </w:r>
      <w:r w:rsidRPr="008E53E2">
        <w:rPr>
          <w:rFonts w:ascii="宋体" w:eastAsia="宋体" w:hAnsi="宋体"/>
          <w:sz w:val="24"/>
          <w:szCs w:val="24"/>
        </w:rPr>
        <w:t xml:space="preserve"> 定期存款提前支取 </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一、定期存款的提前支取应根据银行与客户之间的合约执行；</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 xml:space="preserve">二、定期存款提前支取的利率按照活期利率计算。 </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b/>
          <w:sz w:val="24"/>
          <w:szCs w:val="24"/>
        </w:rPr>
        <w:t>第七条</w:t>
      </w:r>
      <w:r w:rsidRPr="008E53E2">
        <w:rPr>
          <w:rFonts w:ascii="宋体" w:eastAsia="宋体" w:hAnsi="宋体"/>
          <w:sz w:val="24"/>
          <w:szCs w:val="24"/>
        </w:rPr>
        <w:t xml:space="preserve"> 风险案件的处理措施</w:t>
      </w:r>
    </w:p>
    <w:p w:rsidR="008E53E2" w:rsidRPr="008E53E2" w:rsidRDefault="008E53E2" w:rsidP="008E53E2">
      <w:pPr>
        <w:spacing w:line="320" w:lineRule="exact"/>
        <w:ind w:firstLine="720"/>
        <w:rPr>
          <w:rFonts w:ascii="宋体" w:eastAsia="宋体" w:hAnsi="宋体" w:hint="default"/>
          <w:sz w:val="24"/>
          <w:szCs w:val="24"/>
        </w:rPr>
      </w:pPr>
      <w:r w:rsidRPr="008E53E2">
        <w:rPr>
          <w:rFonts w:ascii="宋体" w:eastAsia="宋体" w:hAnsi="宋体"/>
          <w:sz w:val="24"/>
          <w:szCs w:val="24"/>
        </w:rPr>
        <w:t>在定期存款合约被弄皱、撕裂、丢失或其他风险案件的情况下，客户要立即通知银行，银行将按照相关法律规定根据具体情况与客户商量、配合处理，保证客户的合法权益。</w:t>
      </w:r>
    </w:p>
    <w:p w:rsidR="008E53E2" w:rsidRPr="008E53E2" w:rsidRDefault="008E53E2" w:rsidP="008E53E2">
      <w:pPr>
        <w:spacing w:line="320" w:lineRule="exact"/>
        <w:rPr>
          <w:rFonts w:ascii="宋体" w:eastAsia="宋体" w:hAnsi="宋体" w:hint="default"/>
          <w:sz w:val="24"/>
          <w:szCs w:val="24"/>
        </w:rPr>
      </w:pPr>
      <w:r w:rsidRPr="008E53E2">
        <w:rPr>
          <w:rFonts w:ascii="宋体" w:eastAsia="宋体" w:hAnsi="宋体"/>
          <w:sz w:val="24"/>
          <w:szCs w:val="24"/>
        </w:rPr>
        <w:t>若客户不立即通知，银行对任何损失概不负责。</w:t>
      </w:r>
    </w:p>
    <w:sectPr w:rsidR="008E53E2" w:rsidRPr="008E53E2" w:rsidSect="00E03BBB">
      <w:footerReference w:type="default" r:id="rId8"/>
      <w:pgSz w:w="11906" w:h="16838"/>
      <w:pgMar w:top="709" w:right="849" w:bottom="993"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5FD" w:rsidRDefault="00C265FD" w:rsidP="006B5DFB">
      <w:pPr>
        <w:rPr>
          <w:rFonts w:hint="default"/>
        </w:rPr>
      </w:pPr>
      <w:r>
        <w:separator/>
      </w:r>
    </w:p>
  </w:endnote>
  <w:endnote w:type="continuationSeparator" w:id="1">
    <w:p w:rsidR="00C265FD" w:rsidRDefault="00C265FD" w:rsidP="006B5DF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6C" w:rsidRDefault="00C265FD">
    <w:pPr>
      <w:pStyle w:val="Footer"/>
      <w:tabs>
        <w:tab w:val="clear" w:pos="4153"/>
        <w:tab w:val="clear" w:pos="8306"/>
      </w:tabs>
      <w:ind w:right="508" w:firstLine="360"/>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5FD" w:rsidRDefault="00C265FD" w:rsidP="006B5DFB">
      <w:pPr>
        <w:rPr>
          <w:rFonts w:hint="default"/>
        </w:rPr>
      </w:pPr>
      <w:r>
        <w:separator/>
      </w:r>
    </w:p>
  </w:footnote>
  <w:footnote w:type="continuationSeparator" w:id="1">
    <w:p w:rsidR="00C265FD" w:rsidRDefault="00C265FD" w:rsidP="006B5DFB">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9622E"/>
    <w:multiLevelType w:val="multilevel"/>
    <w:tmpl w:val="5D19622E"/>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
    <w:nsid w:val="5D196E20"/>
    <w:multiLevelType w:val="multilevel"/>
    <w:tmpl w:val="5D196E20"/>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2">
    <w:nsid w:val="5D196ECA"/>
    <w:multiLevelType w:val="multilevel"/>
    <w:tmpl w:val="5D196ECA"/>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3">
    <w:nsid w:val="5D19BB51"/>
    <w:multiLevelType w:val="multilevel"/>
    <w:tmpl w:val="5D19BB51"/>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4">
    <w:nsid w:val="5D19C152"/>
    <w:multiLevelType w:val="multilevel"/>
    <w:tmpl w:val="5D19C152"/>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5">
    <w:nsid w:val="5D19C71D"/>
    <w:multiLevelType w:val="multilevel"/>
    <w:tmpl w:val="5D19C71D"/>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6">
    <w:nsid w:val="5D19CC3D"/>
    <w:multiLevelType w:val="multilevel"/>
    <w:tmpl w:val="5D19CC3D"/>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7">
    <w:nsid w:val="5D19D2F9"/>
    <w:multiLevelType w:val="multilevel"/>
    <w:tmpl w:val="5D19D2F9"/>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8">
    <w:nsid w:val="5D19DF02"/>
    <w:multiLevelType w:val="multilevel"/>
    <w:tmpl w:val="5D19DF02"/>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9">
    <w:nsid w:val="5D19E082"/>
    <w:multiLevelType w:val="multilevel"/>
    <w:tmpl w:val="5D19E082"/>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0">
    <w:nsid w:val="5D19E318"/>
    <w:multiLevelType w:val="multilevel"/>
    <w:tmpl w:val="5D19E318"/>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1">
    <w:nsid w:val="5D19E4E4"/>
    <w:multiLevelType w:val="multilevel"/>
    <w:tmpl w:val="5D19E4E4"/>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2">
    <w:nsid w:val="5D19E707"/>
    <w:multiLevelType w:val="multilevel"/>
    <w:tmpl w:val="5D19E707"/>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3">
    <w:nsid w:val="5D19ED8E"/>
    <w:multiLevelType w:val="multilevel"/>
    <w:tmpl w:val="5D19ED8E"/>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4">
    <w:nsid w:val="5D1C855B"/>
    <w:multiLevelType w:val="multilevel"/>
    <w:tmpl w:val="5D1C855B"/>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5">
    <w:nsid w:val="5D1C85D5"/>
    <w:multiLevelType w:val="multilevel"/>
    <w:tmpl w:val="5D1C85D5"/>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5"/>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7546A0"/>
    <w:rsid w:val="001179B8"/>
    <w:rsid w:val="001358FD"/>
    <w:rsid w:val="001E5722"/>
    <w:rsid w:val="0022261E"/>
    <w:rsid w:val="00254A4E"/>
    <w:rsid w:val="003A0C95"/>
    <w:rsid w:val="003E38E6"/>
    <w:rsid w:val="00442599"/>
    <w:rsid w:val="005210DC"/>
    <w:rsid w:val="00527423"/>
    <w:rsid w:val="005472D0"/>
    <w:rsid w:val="005C5540"/>
    <w:rsid w:val="006B5DFB"/>
    <w:rsid w:val="006C0F62"/>
    <w:rsid w:val="007546A0"/>
    <w:rsid w:val="007773FC"/>
    <w:rsid w:val="00780D94"/>
    <w:rsid w:val="008354CB"/>
    <w:rsid w:val="008E53E2"/>
    <w:rsid w:val="008F7402"/>
    <w:rsid w:val="00B17811"/>
    <w:rsid w:val="00B75D79"/>
    <w:rsid w:val="00C265FD"/>
    <w:rsid w:val="00CA3D6E"/>
    <w:rsid w:val="00D043EC"/>
    <w:rsid w:val="00D81F47"/>
    <w:rsid w:val="00DA536F"/>
    <w:rsid w:val="00E03BBB"/>
    <w:rsid w:val="00E45ACB"/>
    <w:rsid w:val="00F91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A0"/>
    <w:pPr>
      <w:widowControl w:val="0"/>
      <w:spacing w:after="0" w:line="240" w:lineRule="auto"/>
      <w:jc w:val="both"/>
    </w:pPr>
    <w:rPr>
      <w:rFonts w:ascii="仿宋_GB2312" w:eastAsia="仿宋_GB2312" w:hAnsi="Times New Roman" w:cs="Times New Roman" w:hint="eastAsia"/>
      <w:color w:val="10000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rsid w:val="007546A0"/>
    <w:rPr>
      <w:rFonts w:ascii="Times New Roman" w:eastAsia="宋体" w:hAnsi="Times New Roman" w:hint="default"/>
      <w:sz w:val="18"/>
    </w:rPr>
  </w:style>
  <w:style w:type="paragraph" w:styleId="NormalWeb">
    <w:name w:val="Normal (Web)"/>
    <w:basedOn w:val="Normal"/>
    <w:uiPriority w:val="99"/>
    <w:unhideWhenUsed/>
    <w:rsid w:val="007546A0"/>
    <w:pPr>
      <w:spacing w:before="100" w:beforeAutospacing="1" w:after="100" w:afterAutospacing="1"/>
      <w:jc w:val="left"/>
    </w:pPr>
    <w:rPr>
      <w:sz w:val="24"/>
    </w:rPr>
  </w:style>
  <w:style w:type="paragraph" w:styleId="Footer">
    <w:name w:val="footer"/>
    <w:basedOn w:val="Normal"/>
    <w:link w:val="FooterChar"/>
    <w:unhideWhenUsed/>
    <w:rsid w:val="007546A0"/>
    <w:pPr>
      <w:tabs>
        <w:tab w:val="center" w:pos="4153"/>
        <w:tab w:val="right" w:pos="8306"/>
      </w:tabs>
      <w:snapToGrid w:val="0"/>
      <w:jc w:val="left"/>
    </w:pPr>
    <w:rPr>
      <w:sz w:val="18"/>
    </w:rPr>
  </w:style>
  <w:style w:type="character" w:customStyle="1" w:styleId="FooterChar">
    <w:name w:val="Footer Char"/>
    <w:basedOn w:val="DefaultParagraphFont"/>
    <w:link w:val="Footer"/>
    <w:rsid w:val="007546A0"/>
    <w:rPr>
      <w:rFonts w:ascii="仿宋_GB2312" w:eastAsia="仿宋_GB2312" w:hAnsi="Times New Roman" w:cs="Times New Roman"/>
      <w:color w:val="10000A"/>
      <w:sz w:val="18"/>
      <w:szCs w:val="20"/>
    </w:rPr>
  </w:style>
  <w:style w:type="character" w:styleId="CommentReference">
    <w:name w:val="annotation reference"/>
    <w:basedOn w:val="DefaultParagraphFont"/>
    <w:uiPriority w:val="99"/>
    <w:semiHidden/>
    <w:unhideWhenUsed/>
    <w:rsid w:val="007546A0"/>
    <w:rPr>
      <w:rFonts w:hint="default"/>
      <w:sz w:val="16"/>
      <w:szCs w:val="16"/>
    </w:rPr>
  </w:style>
  <w:style w:type="paragraph" w:styleId="CommentText">
    <w:name w:val="annotation text"/>
    <w:basedOn w:val="Normal"/>
    <w:link w:val="CommentTextChar"/>
    <w:uiPriority w:val="99"/>
    <w:semiHidden/>
    <w:unhideWhenUsed/>
    <w:rsid w:val="007546A0"/>
    <w:rPr>
      <w:sz w:val="20"/>
    </w:rPr>
  </w:style>
  <w:style w:type="character" w:customStyle="1" w:styleId="CommentTextChar">
    <w:name w:val="Comment Text Char"/>
    <w:basedOn w:val="DefaultParagraphFont"/>
    <w:link w:val="CommentText"/>
    <w:uiPriority w:val="99"/>
    <w:semiHidden/>
    <w:rsid w:val="007546A0"/>
    <w:rPr>
      <w:rFonts w:ascii="仿宋_GB2312" w:eastAsia="仿宋_GB2312" w:hAnsi="Times New Roman" w:cs="Times New Roman"/>
      <w:color w:val="10000A"/>
      <w:sz w:val="20"/>
      <w:szCs w:val="20"/>
    </w:rPr>
  </w:style>
  <w:style w:type="paragraph" w:styleId="BalloonText">
    <w:name w:val="Balloon Text"/>
    <w:basedOn w:val="Normal"/>
    <w:link w:val="BalloonTextChar"/>
    <w:uiPriority w:val="99"/>
    <w:semiHidden/>
    <w:unhideWhenUsed/>
    <w:rsid w:val="007546A0"/>
    <w:rPr>
      <w:rFonts w:ascii="Tahoma" w:hAnsi="Tahoma" w:cs="Tahoma"/>
      <w:sz w:val="16"/>
      <w:szCs w:val="16"/>
    </w:rPr>
  </w:style>
  <w:style w:type="character" w:customStyle="1" w:styleId="BalloonTextChar">
    <w:name w:val="Balloon Text Char"/>
    <w:basedOn w:val="DefaultParagraphFont"/>
    <w:link w:val="BalloonText"/>
    <w:uiPriority w:val="99"/>
    <w:semiHidden/>
    <w:rsid w:val="007546A0"/>
    <w:rPr>
      <w:rFonts w:ascii="Tahoma" w:eastAsia="仿宋_GB2312" w:hAnsi="Tahoma" w:cs="Tahoma"/>
      <w:color w:val="10000A"/>
      <w:sz w:val="16"/>
      <w:szCs w:val="16"/>
    </w:rPr>
  </w:style>
  <w:style w:type="paragraph" w:styleId="Header">
    <w:name w:val="header"/>
    <w:basedOn w:val="Normal"/>
    <w:link w:val="HeaderChar"/>
    <w:uiPriority w:val="99"/>
    <w:semiHidden/>
    <w:unhideWhenUsed/>
    <w:rsid w:val="00E03B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3BBB"/>
    <w:rPr>
      <w:rFonts w:ascii="仿宋_GB2312" w:eastAsia="仿宋_GB2312" w:hAnsi="Times New Roman" w:cs="Times New Roman"/>
      <w:color w:val="10000A"/>
      <w:sz w:val="18"/>
      <w:szCs w:val="18"/>
    </w:rPr>
  </w:style>
  <w:style w:type="paragraph" w:styleId="ListParagraph">
    <w:name w:val="List Paragraph"/>
    <w:basedOn w:val="Normal"/>
    <w:uiPriority w:val="34"/>
    <w:qFormat/>
    <w:rsid w:val="00E03B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hwhn-dushh</dc:creator>
  <cp:lastModifiedBy>hwhn-dushh</cp:lastModifiedBy>
  <cp:revision>6</cp:revision>
  <cp:lastPrinted>2025-04-04T06:40:00Z</cp:lastPrinted>
  <dcterms:created xsi:type="dcterms:W3CDTF">2025-04-04T06:40:00Z</dcterms:created>
  <dcterms:modified xsi:type="dcterms:W3CDTF">2025-04-26T04:16:00Z</dcterms:modified>
</cp:coreProperties>
</file>