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6AF6" w14:textId="77777777" w:rsidR="00CB122A" w:rsidRDefault="00000000">
      <w:pPr>
        <w:rPr>
          <w:rFonts w:ascii="Arial" w:eastAsia="Arial Unicode MS" w:hAnsi="Arial" w:cs="Arial"/>
          <w:sz w:val="36"/>
          <w:szCs w:val="36"/>
          <w:lang w:val="fr-FR"/>
        </w:rPr>
      </w:pPr>
      <w:r>
        <w:rPr>
          <w:rFonts w:ascii="Arial" w:eastAsia="Arial Unicode MS" w:hAnsi="Arial" w:cs="Arial"/>
          <w:sz w:val="36"/>
          <w:szCs w:val="36"/>
          <w:lang w:val="fr-FR"/>
        </w:rPr>
        <w:t>QU'EST-CE QUE L'INACTIVITÉ SELON LA LOI ?</w:t>
      </w:r>
    </w:p>
    <w:p w14:paraId="2282305E" w14:textId="77777777" w:rsidR="00CB122A" w:rsidRDefault="00000000">
      <w:pPr>
        <w:rPr>
          <w:rFonts w:ascii="Arial" w:hAnsi="Arial" w:cs="Arial"/>
          <w:b/>
          <w:bCs/>
          <w:sz w:val="23"/>
          <w:szCs w:val="23"/>
          <w:lang w:val="fr-FR"/>
        </w:rPr>
      </w:pPr>
      <w:r>
        <w:rPr>
          <w:rFonts w:ascii="Arial" w:hAnsi="Arial" w:cs="Arial"/>
          <w:b/>
          <w:bCs/>
          <w:sz w:val="23"/>
          <w:szCs w:val="23"/>
          <w:lang w:val="fr-FR"/>
        </w:rPr>
        <w:t>Un compte bancaire est considéré comme inactif lorsque (conditions cumulatives) pendant une période de 12 mois :</w:t>
      </w:r>
    </w:p>
    <w:p w14:paraId="7786472F" w14:textId="77777777" w:rsidR="00CB122A" w:rsidRDefault="00000000">
      <w:pPr>
        <w:numPr>
          <w:ilvl w:val="0"/>
          <w:numId w:val="1"/>
        </w:numPr>
        <w:rPr>
          <w:rFonts w:ascii="Arial" w:hAnsi="Arial" w:cs="Arial"/>
          <w:sz w:val="23"/>
          <w:szCs w:val="23"/>
          <w:lang w:val="fr-FR"/>
        </w:rPr>
      </w:pPr>
      <w:proofErr w:type="gramStart"/>
      <w:r>
        <w:rPr>
          <w:rFonts w:ascii="Arial" w:hAnsi="Arial" w:cs="Arial"/>
          <w:sz w:val="23"/>
          <w:szCs w:val="23"/>
          <w:lang w:val="fr-FR"/>
        </w:rPr>
        <w:t>il</w:t>
      </w:r>
      <w:proofErr w:type="gramEnd"/>
      <w:r>
        <w:rPr>
          <w:rFonts w:ascii="Arial" w:hAnsi="Arial" w:cs="Arial"/>
          <w:sz w:val="23"/>
          <w:szCs w:val="23"/>
          <w:lang w:val="fr-FR"/>
        </w:rPr>
        <w:t xml:space="preserve"> n’a fait l’objet d’aucune opération, à l’initiative de son titulaire, de son représentant légal ou d’une personne habilitée, à l’exception des inscriptions d’intérêts et débits, par l’établissement tenant le compte, de frais et commissions de toutes natures ou versements de produits, de remboursements de titres de capital ou de créance ;</w:t>
      </w:r>
    </w:p>
    <w:p w14:paraId="7565C963" w14:textId="77777777" w:rsidR="00CB122A" w:rsidRDefault="00000000">
      <w:pPr>
        <w:numPr>
          <w:ilvl w:val="0"/>
          <w:numId w:val="2"/>
        </w:numPr>
        <w:rPr>
          <w:rFonts w:ascii="Arial" w:hAnsi="Arial" w:cs="Arial"/>
          <w:sz w:val="23"/>
          <w:szCs w:val="23"/>
          <w:lang w:val="fr-FR"/>
        </w:rPr>
      </w:pPr>
      <w:proofErr w:type="gramStart"/>
      <w:r>
        <w:rPr>
          <w:rFonts w:ascii="Arial" w:hAnsi="Arial" w:cs="Arial"/>
          <w:sz w:val="23"/>
          <w:szCs w:val="23"/>
          <w:lang w:val="fr-FR"/>
        </w:rPr>
        <w:t>son</w:t>
      </w:r>
      <w:proofErr w:type="gramEnd"/>
      <w:r>
        <w:rPr>
          <w:rFonts w:ascii="Arial" w:hAnsi="Arial" w:cs="Arial"/>
          <w:sz w:val="23"/>
          <w:szCs w:val="23"/>
          <w:lang w:val="fr-FR"/>
        </w:rPr>
        <w:t xml:space="preserve"> titulaire, son représentant légal ou une personne habilitée ne s’est pas manifesté et n’a effectué aucune autre opération sur un autre compte ouvert à son nom dans l’établissement.</w:t>
      </w:r>
    </w:p>
    <w:p w14:paraId="5CEBC9C8" w14:textId="77777777" w:rsidR="00CB122A" w:rsidRDefault="00000000">
      <w:pPr>
        <w:rPr>
          <w:rFonts w:ascii="Arial" w:hAnsi="Arial" w:cs="Arial"/>
          <w:sz w:val="23"/>
          <w:szCs w:val="23"/>
          <w:lang w:val="fr-FR"/>
        </w:rPr>
      </w:pPr>
      <w:r>
        <w:rPr>
          <w:rFonts w:ascii="Arial" w:hAnsi="Arial" w:cs="Arial"/>
          <w:b/>
          <w:bCs/>
          <w:sz w:val="23"/>
          <w:szCs w:val="23"/>
          <w:lang w:val="fr-FR"/>
        </w:rPr>
        <w:t>Ce délai est porté à 5 ans</w:t>
      </w:r>
      <w:r>
        <w:rPr>
          <w:rFonts w:ascii="Arial" w:hAnsi="Arial" w:cs="Arial"/>
          <w:sz w:val="23"/>
          <w:szCs w:val="23"/>
          <w:lang w:val="fr-FR"/>
        </w:rPr>
        <w:t> pour les comptes titres, les comptes sur livret, les produits d’épargne réglementée et les comptes à terme (à compter du terme de l’éventuelle période d’indisponibilité).</w:t>
      </w:r>
      <w:r>
        <w:rPr>
          <w:rFonts w:ascii="Arial" w:hAnsi="Arial" w:cs="Arial"/>
          <w:sz w:val="23"/>
          <w:szCs w:val="23"/>
          <w:lang w:val="fr-FR"/>
        </w:rPr>
        <w:br/>
      </w:r>
      <w:r>
        <w:rPr>
          <w:rFonts w:ascii="Arial" w:hAnsi="Arial" w:cs="Arial"/>
          <w:sz w:val="23"/>
          <w:szCs w:val="23"/>
          <w:lang w:val="fr-FR"/>
        </w:rPr>
        <w:br/>
      </w:r>
      <w:r>
        <w:rPr>
          <w:rFonts w:ascii="Arial" w:hAnsi="Arial" w:cs="Arial"/>
          <w:b/>
          <w:bCs/>
          <w:sz w:val="23"/>
          <w:szCs w:val="23"/>
          <w:lang w:val="fr-FR"/>
        </w:rPr>
        <w:t>Lorsque le titulaire du compte est décédé, le compte est considéré comme inactif si pendant une période de 12 mois suivant son décès,</w:t>
      </w:r>
      <w:r>
        <w:rPr>
          <w:rFonts w:ascii="Arial" w:hAnsi="Arial" w:cs="Arial"/>
          <w:sz w:val="23"/>
          <w:szCs w:val="23"/>
          <w:lang w:val="fr-FR"/>
        </w:rPr>
        <w:t> aucun de ses ayants droit n’a informé l’établissement de sa volonté de faire valoir ses droits sur les avoirs du défunt.</w:t>
      </w:r>
    </w:p>
    <w:p w14:paraId="5CA8F05F" w14:textId="77777777" w:rsidR="00CB122A" w:rsidRDefault="00000000">
      <w:pPr>
        <w:rPr>
          <w:rFonts w:ascii="Arial" w:hAnsi="Arial" w:cs="Arial"/>
          <w:b/>
          <w:bCs/>
          <w:sz w:val="23"/>
          <w:szCs w:val="23"/>
          <w:lang w:val="fr-FR"/>
        </w:rPr>
      </w:pPr>
      <w:r>
        <w:rPr>
          <w:rFonts w:ascii="Arial" w:hAnsi="Arial" w:cs="Arial"/>
          <w:b/>
          <w:bCs/>
          <w:sz w:val="23"/>
          <w:szCs w:val="23"/>
          <w:lang w:val="fr-FR"/>
        </w:rPr>
        <w:t>Afin de s’assurer que l’inactivité d’un compte n’est pas liée au décès de son titulaire, l’établissement tenant le compte doit consulter chaque année le répertoire national d’identification des personnes physiques (RNIPP).</w:t>
      </w:r>
    </w:p>
    <w:p w14:paraId="581A49DF" w14:textId="77777777" w:rsidR="00CB122A" w:rsidRDefault="00CB122A">
      <w:pPr>
        <w:rPr>
          <w:lang w:val="fr-FR"/>
        </w:rPr>
      </w:pPr>
    </w:p>
    <w:p w14:paraId="0390D64B" w14:textId="77777777" w:rsidR="00CB122A" w:rsidRDefault="00000000">
      <w:pPr>
        <w:rPr>
          <w:rFonts w:ascii="Arial" w:eastAsia="Arial Unicode MS" w:hAnsi="Arial" w:cs="Arial"/>
          <w:sz w:val="36"/>
          <w:szCs w:val="36"/>
          <w:lang w:val="fr-FR"/>
        </w:rPr>
      </w:pPr>
      <w:r>
        <w:rPr>
          <w:rFonts w:ascii="Arial" w:eastAsia="Arial Unicode MS" w:hAnsi="Arial" w:cs="Arial"/>
          <w:sz w:val="36"/>
          <w:szCs w:val="36"/>
          <w:lang w:val="fr-FR"/>
        </w:rPr>
        <w:t>QUELLES SONT LES CONSÉQUENCES DE L'INACTIVITÉ ?</w:t>
      </w:r>
    </w:p>
    <w:p w14:paraId="6679AC66" w14:textId="77777777" w:rsidR="00CB122A" w:rsidRDefault="00000000">
      <w:pPr>
        <w:rPr>
          <w:rFonts w:ascii="Arial" w:hAnsi="Arial" w:cs="Arial"/>
          <w:b/>
          <w:bCs/>
          <w:sz w:val="23"/>
          <w:szCs w:val="23"/>
        </w:rPr>
      </w:pPr>
      <w:r>
        <w:rPr>
          <w:rFonts w:ascii="Arial" w:hAnsi="Arial" w:cs="Arial"/>
          <w:b/>
          <w:bCs/>
          <w:sz w:val="23"/>
          <w:szCs w:val="23"/>
        </w:rPr>
        <w:t xml:space="preserve">Pour le </w:t>
      </w:r>
      <w:proofErr w:type="spellStart"/>
      <w:r>
        <w:rPr>
          <w:rFonts w:ascii="Arial" w:hAnsi="Arial" w:cs="Arial"/>
          <w:b/>
          <w:bCs/>
          <w:sz w:val="23"/>
          <w:szCs w:val="23"/>
        </w:rPr>
        <w:t>compte</w:t>
      </w:r>
      <w:proofErr w:type="spellEnd"/>
      <w:r>
        <w:rPr>
          <w:rFonts w:ascii="Arial" w:hAnsi="Arial" w:cs="Arial"/>
          <w:b/>
          <w:bCs/>
          <w:sz w:val="23"/>
          <w:szCs w:val="23"/>
        </w:rPr>
        <w:t xml:space="preserve"> </w:t>
      </w:r>
      <w:proofErr w:type="spellStart"/>
      <w:r>
        <w:rPr>
          <w:rFonts w:ascii="Arial" w:hAnsi="Arial" w:cs="Arial"/>
          <w:b/>
          <w:bCs/>
          <w:sz w:val="23"/>
          <w:szCs w:val="23"/>
        </w:rPr>
        <w:t>bancaire</w:t>
      </w:r>
      <w:proofErr w:type="spellEnd"/>
    </w:p>
    <w:p w14:paraId="64D7A4E3" w14:textId="77777777" w:rsidR="00CB122A" w:rsidRDefault="00000000">
      <w:pPr>
        <w:numPr>
          <w:ilvl w:val="0"/>
          <w:numId w:val="2"/>
        </w:numPr>
        <w:rPr>
          <w:rFonts w:ascii="Arial" w:hAnsi="Arial" w:cs="Arial"/>
          <w:sz w:val="23"/>
          <w:szCs w:val="23"/>
          <w:lang w:val="fr-FR"/>
        </w:rPr>
      </w:pPr>
      <w:r>
        <w:rPr>
          <w:rFonts w:ascii="Arial" w:hAnsi="Arial" w:cs="Arial"/>
          <w:sz w:val="23"/>
          <w:szCs w:val="23"/>
          <w:lang w:val="fr-FR"/>
        </w:rPr>
        <w:t xml:space="preserve">Les sommes et avoirs en instruments </w:t>
      </w:r>
      <w:proofErr w:type="gramStart"/>
      <w:r>
        <w:rPr>
          <w:rFonts w:ascii="Arial" w:hAnsi="Arial" w:cs="Arial"/>
          <w:sz w:val="23"/>
          <w:szCs w:val="23"/>
          <w:lang w:val="fr-FR"/>
        </w:rPr>
        <w:t>financiers(</w:t>
      </w:r>
      <w:proofErr w:type="gramEnd"/>
      <w:r>
        <w:rPr>
          <w:rFonts w:ascii="Arial" w:hAnsi="Arial" w:cs="Arial"/>
          <w:sz w:val="23"/>
          <w:szCs w:val="23"/>
          <w:lang w:val="fr-FR"/>
        </w:rPr>
        <w:t>1) inscrits sur un compte bancaire inactif </w:t>
      </w:r>
      <w:r>
        <w:rPr>
          <w:rFonts w:ascii="Arial" w:hAnsi="Arial" w:cs="Arial"/>
          <w:b/>
          <w:bCs/>
          <w:sz w:val="23"/>
          <w:szCs w:val="23"/>
          <w:lang w:val="fr-FR"/>
        </w:rPr>
        <w:t>depuis plus de 10 ans</w:t>
      </w:r>
      <w:r>
        <w:rPr>
          <w:rFonts w:ascii="Arial" w:hAnsi="Arial" w:cs="Arial"/>
          <w:sz w:val="23"/>
          <w:szCs w:val="23"/>
          <w:lang w:val="fr-FR"/>
        </w:rPr>
        <w:t> (3 ans en cas de décès du titulaire) sont transférés à la </w:t>
      </w:r>
      <w:r>
        <w:rPr>
          <w:rFonts w:ascii="Arial" w:hAnsi="Arial" w:cs="Arial"/>
          <w:b/>
          <w:bCs/>
          <w:sz w:val="23"/>
          <w:szCs w:val="23"/>
          <w:lang w:val="fr-FR"/>
        </w:rPr>
        <w:t>Caisse des Dépôts et Consignations (CDC)</w:t>
      </w:r>
      <w:r>
        <w:rPr>
          <w:rFonts w:ascii="Arial" w:hAnsi="Arial" w:cs="Arial"/>
          <w:sz w:val="23"/>
          <w:szCs w:val="23"/>
          <w:lang w:val="fr-FR"/>
        </w:rPr>
        <w:t>, qui en assurera la conservation et la gestion et pourront être restitués à la demande du propriétaire, de son représentant légal ou de son ayant droit.</w:t>
      </w:r>
      <w:r>
        <w:rPr>
          <w:rFonts w:ascii="Arial" w:hAnsi="Arial" w:cs="Arial"/>
          <w:sz w:val="23"/>
          <w:szCs w:val="23"/>
          <w:lang w:val="fr-FR"/>
        </w:rPr>
        <w:br/>
      </w:r>
      <w:r>
        <w:rPr>
          <w:rFonts w:ascii="Arial" w:hAnsi="Arial" w:cs="Arial"/>
          <w:b/>
          <w:bCs/>
          <w:sz w:val="23"/>
          <w:szCs w:val="23"/>
          <w:lang w:val="fr-FR"/>
        </w:rPr>
        <w:t>Ce délai est porté à 20 ans</w:t>
      </w:r>
      <w:r>
        <w:rPr>
          <w:rFonts w:ascii="Arial" w:hAnsi="Arial" w:cs="Arial"/>
          <w:sz w:val="23"/>
          <w:szCs w:val="23"/>
          <w:lang w:val="fr-FR"/>
        </w:rPr>
        <w:t> pour le </w:t>
      </w:r>
      <w:r>
        <w:rPr>
          <w:rFonts w:ascii="Arial" w:hAnsi="Arial" w:cs="Arial"/>
          <w:b/>
          <w:bCs/>
          <w:sz w:val="23"/>
          <w:szCs w:val="23"/>
          <w:lang w:val="fr-FR"/>
        </w:rPr>
        <w:t>Plan Épargne Logement</w:t>
      </w:r>
      <w:r>
        <w:rPr>
          <w:rFonts w:ascii="Arial" w:hAnsi="Arial" w:cs="Arial"/>
          <w:sz w:val="23"/>
          <w:szCs w:val="23"/>
          <w:lang w:val="fr-FR"/>
        </w:rPr>
        <w:t> qualifié d’« orphelin » (seul compte détenu dans l’établissement).</w:t>
      </w:r>
    </w:p>
    <w:p w14:paraId="3FDD7E84" w14:textId="77777777" w:rsidR="00CB122A" w:rsidRDefault="00000000">
      <w:pPr>
        <w:numPr>
          <w:ilvl w:val="0"/>
          <w:numId w:val="2"/>
        </w:numPr>
        <w:rPr>
          <w:rFonts w:ascii="Arial" w:hAnsi="Arial" w:cs="Arial"/>
          <w:sz w:val="23"/>
          <w:szCs w:val="23"/>
          <w:lang w:val="fr-FR"/>
        </w:rPr>
      </w:pPr>
      <w:r w:rsidRPr="000E6378">
        <w:rPr>
          <w:rFonts w:ascii="Arial" w:hAnsi="Arial" w:cs="Arial" w:hint="eastAsia"/>
          <w:sz w:val="23"/>
          <w:szCs w:val="23"/>
          <w:lang w:val="fr-FR"/>
        </w:rPr>
        <w:t xml:space="preserve">Le </w:t>
      </w:r>
      <w:r>
        <w:rPr>
          <w:rFonts w:ascii="Arial" w:hAnsi="Arial" w:cs="Arial"/>
          <w:sz w:val="23"/>
          <w:szCs w:val="23"/>
          <w:lang w:val="fr-FR"/>
        </w:rPr>
        <w:t>dépôt</w:t>
      </w:r>
      <w:r w:rsidRPr="000E6378">
        <w:rPr>
          <w:rFonts w:ascii="Arial" w:hAnsi="Arial" w:cs="Arial" w:hint="eastAsia"/>
          <w:sz w:val="23"/>
          <w:szCs w:val="23"/>
          <w:lang w:val="fr-FR"/>
        </w:rPr>
        <w:t xml:space="preserve"> </w:t>
      </w:r>
      <w:r>
        <w:rPr>
          <w:rFonts w:ascii="Arial" w:hAnsi="Arial" w:cs="Arial"/>
          <w:sz w:val="23"/>
          <w:szCs w:val="23"/>
          <w:lang w:val="fr-FR"/>
        </w:rPr>
        <w:t>des sommes et avoirs à la CDC entraînera la clôture du</w:t>
      </w:r>
      <w:r w:rsidRPr="000E6378">
        <w:rPr>
          <w:rFonts w:ascii="Arial" w:hAnsi="Arial" w:cs="Arial" w:hint="eastAsia"/>
          <w:sz w:val="23"/>
          <w:szCs w:val="23"/>
          <w:lang w:val="fr-FR"/>
        </w:rPr>
        <w:t xml:space="preserve"> </w:t>
      </w:r>
      <w:r>
        <w:rPr>
          <w:rFonts w:ascii="Arial" w:hAnsi="Arial" w:cs="Arial"/>
          <w:sz w:val="23"/>
          <w:szCs w:val="23"/>
          <w:lang w:val="fr-FR"/>
        </w:rPr>
        <w:t>compte.</w:t>
      </w:r>
    </w:p>
    <w:p w14:paraId="2F4B76EE" w14:textId="77777777" w:rsidR="00CB122A" w:rsidRDefault="00000000">
      <w:pPr>
        <w:numPr>
          <w:ilvl w:val="0"/>
          <w:numId w:val="2"/>
        </w:numPr>
        <w:rPr>
          <w:rFonts w:ascii="Arial" w:hAnsi="Arial" w:cs="Arial"/>
          <w:sz w:val="23"/>
          <w:szCs w:val="23"/>
          <w:lang w:val="fr-FR"/>
        </w:rPr>
      </w:pPr>
      <w:r>
        <w:rPr>
          <w:rFonts w:ascii="Arial" w:hAnsi="Arial" w:cs="Arial"/>
          <w:sz w:val="23"/>
          <w:szCs w:val="23"/>
          <w:lang w:val="fr-FR"/>
        </w:rPr>
        <w:lastRenderedPageBreak/>
        <w:t>À l’issue d’une période de 20 ans (27 ans en cas de décès du titulaire ; 10 ans pour le Plan Epargne Logement « orphelin ») de conservation à la Caisse des Dépôts et Consignations et en l’absence de toute demande de restitution, les sommes sont définitivement transférées à l'État qui en devient propriétaire (prescription acquisitive).</w:t>
      </w:r>
    </w:p>
    <w:p w14:paraId="7D1E4E4A" w14:textId="77777777" w:rsidR="00CB122A" w:rsidRDefault="00000000">
      <w:pPr>
        <w:numPr>
          <w:ilvl w:val="0"/>
          <w:numId w:val="3"/>
        </w:numPr>
        <w:rPr>
          <w:rFonts w:ascii="Arial" w:hAnsi="Arial" w:cs="Arial"/>
          <w:sz w:val="17"/>
          <w:szCs w:val="17"/>
          <w:lang w:val="fr-FR"/>
        </w:rPr>
      </w:pPr>
      <w:r>
        <w:rPr>
          <w:rFonts w:ascii="Arial" w:hAnsi="Arial" w:cs="Arial"/>
          <w:sz w:val="17"/>
          <w:szCs w:val="17"/>
          <w:lang w:val="fr-FR"/>
        </w:rPr>
        <w:t>Les titres sont liquidés (vendus) pour permettre le transfert de leur produit (net des frais) à la CDC. Les droits d’associé, les titres de capital émis par les sociétés par actions et les titres de créance, non admis aux négociations sur un marché réglementé ou sur un système multilatéral de négociation ne sont ni liquidés, ni déposés à la Caisse des dépôts et consignations.</w:t>
      </w:r>
    </w:p>
    <w:p w14:paraId="0EAE782E" w14:textId="77777777" w:rsidR="00CB122A" w:rsidRDefault="00CB122A">
      <w:pPr>
        <w:rPr>
          <w:rFonts w:ascii="Arial" w:hAnsi="Arial" w:cs="Arial"/>
          <w:sz w:val="17"/>
          <w:szCs w:val="17"/>
          <w:lang w:val="fr-FR"/>
        </w:rPr>
      </w:pPr>
    </w:p>
    <w:p w14:paraId="56452399" w14:textId="77777777" w:rsidR="00CB122A" w:rsidRDefault="00000000">
      <w:pPr>
        <w:rPr>
          <w:rFonts w:ascii="Arial" w:eastAsia="Arial Unicode MS" w:hAnsi="Arial" w:cs="Arial"/>
          <w:sz w:val="36"/>
          <w:szCs w:val="36"/>
          <w:lang w:val="fr-FR"/>
        </w:rPr>
      </w:pPr>
      <w:r>
        <w:rPr>
          <w:rFonts w:ascii="Arial" w:eastAsia="Arial Unicode MS" w:hAnsi="Arial" w:cs="Arial"/>
          <w:sz w:val="36"/>
          <w:szCs w:val="36"/>
          <w:lang w:val="fr-FR"/>
        </w:rPr>
        <w:t>PUBLICATION ANNUELLE</w:t>
      </w:r>
    </w:p>
    <w:p w14:paraId="357388D6" w14:textId="77777777" w:rsidR="00CB122A" w:rsidRDefault="00000000">
      <w:pPr>
        <w:rPr>
          <w:rFonts w:ascii="Arial" w:hAnsi="Arial" w:cs="Arial"/>
          <w:sz w:val="23"/>
          <w:szCs w:val="23"/>
          <w:lang w:val="fr-FR"/>
        </w:rPr>
      </w:pPr>
      <w:r>
        <w:rPr>
          <w:rFonts w:ascii="Arial" w:hAnsi="Arial" w:cs="Arial"/>
          <w:sz w:val="23"/>
          <w:szCs w:val="23"/>
          <w:lang w:val="fr-FR"/>
        </w:rPr>
        <w:t>Dans le cadre de ses obligations d’information, la Banque doit publier annuellement le nombre de comptes inactifs tenus dans ses livres, le montant total des dépôts et avoirs inscrits sur ces comptes, ainsi que le nombre de comptes et le montant des avoirs transférés à la Caisse des dépôts et consignations.</w:t>
      </w:r>
    </w:p>
    <w:p w14:paraId="2C5554EE" w14:textId="77777777" w:rsidR="00CB122A" w:rsidRDefault="00000000">
      <w:pPr>
        <w:rPr>
          <w:rFonts w:ascii="Arial" w:hAnsi="Arial" w:cs="Arial"/>
          <w:sz w:val="23"/>
          <w:szCs w:val="23"/>
          <w:lang w:val="fr-FR"/>
        </w:rPr>
      </w:pPr>
      <w:r>
        <w:rPr>
          <w:rFonts w:ascii="Arial" w:hAnsi="Arial" w:cs="Arial"/>
          <w:sz w:val="23"/>
          <w:szCs w:val="23"/>
          <w:lang w:val="fr-FR"/>
        </w:rPr>
        <w:t>Comptes inactifs tenus sur les livres de ICBC Paris Branch pour le réseau Banque Commerciale En France (4) (hors Monaco et Outre-Mer)</w:t>
      </w:r>
    </w:p>
    <w:p w14:paraId="60A80A79" w14:textId="77777777" w:rsidR="00CB122A" w:rsidRDefault="00CB122A">
      <w:pPr>
        <w:rPr>
          <w:rFonts w:ascii="Arial" w:hAnsi="Arial" w:cs="Arial"/>
          <w:sz w:val="23"/>
          <w:szCs w:val="23"/>
          <w:lang w:val="fr-FR"/>
        </w:rPr>
      </w:pPr>
    </w:p>
    <w:tbl>
      <w:tblPr>
        <w:tblW w:w="12678" w:type="dxa"/>
        <w:jc w:val="center"/>
        <w:tblCellSpacing w:w="15" w:type="dxa"/>
        <w:shd w:val="clear" w:color="auto" w:fill="F0F0F0"/>
        <w:tblCellMar>
          <w:top w:w="15" w:type="dxa"/>
          <w:left w:w="15" w:type="dxa"/>
          <w:bottom w:w="15" w:type="dxa"/>
          <w:right w:w="15" w:type="dxa"/>
        </w:tblCellMar>
        <w:tblLook w:val="04A0" w:firstRow="1" w:lastRow="0" w:firstColumn="1" w:lastColumn="0" w:noHBand="0" w:noVBand="1"/>
      </w:tblPr>
      <w:tblGrid>
        <w:gridCol w:w="4015"/>
        <w:gridCol w:w="4445"/>
        <w:gridCol w:w="4218"/>
      </w:tblGrid>
      <w:tr w:rsidR="00CB122A" w:rsidRPr="00D06968" w14:paraId="4D327656" w14:textId="77777777">
        <w:trPr>
          <w:trHeight w:val="1296"/>
          <w:tblCellSpacing w:w="15" w:type="dxa"/>
          <w:jc w:val="center"/>
        </w:trPr>
        <w:tc>
          <w:tcPr>
            <w:tcW w:w="3970" w:type="dxa"/>
            <w:shd w:val="clear" w:color="auto" w:fill="E7E7E7"/>
            <w:tcMar>
              <w:top w:w="75" w:type="dxa"/>
              <w:left w:w="75" w:type="dxa"/>
              <w:bottom w:w="75" w:type="dxa"/>
              <w:right w:w="75" w:type="dxa"/>
            </w:tcMar>
            <w:vAlign w:val="center"/>
          </w:tcPr>
          <w:p w14:paraId="29A69FE5" w14:textId="77777777" w:rsidR="00CB122A" w:rsidRDefault="00CB122A">
            <w:pPr>
              <w:rPr>
                <w:lang w:val="fr-FR"/>
              </w:rPr>
            </w:pPr>
          </w:p>
        </w:tc>
        <w:tc>
          <w:tcPr>
            <w:tcW w:w="4415" w:type="dxa"/>
            <w:shd w:val="clear" w:color="auto" w:fill="E7E7E7"/>
            <w:tcMar>
              <w:top w:w="75" w:type="dxa"/>
              <w:left w:w="75" w:type="dxa"/>
              <w:bottom w:w="75" w:type="dxa"/>
              <w:right w:w="75" w:type="dxa"/>
            </w:tcMar>
            <w:vAlign w:val="center"/>
          </w:tcPr>
          <w:p w14:paraId="7850E928" w14:textId="519665C2" w:rsidR="00CB122A" w:rsidRDefault="00000000">
            <w:pPr>
              <w:jc w:val="center"/>
              <w:rPr>
                <w:rFonts w:ascii="Arial" w:hAnsi="Arial" w:cs="Arial"/>
                <w:sz w:val="23"/>
                <w:szCs w:val="23"/>
                <w:lang w:val="fr-FR"/>
              </w:rPr>
            </w:pPr>
            <w:r>
              <w:rPr>
                <w:rFonts w:ascii="Arial" w:hAnsi="Arial" w:cs="Arial"/>
                <w:sz w:val="23"/>
                <w:szCs w:val="23"/>
                <w:lang w:val="fr-FR"/>
              </w:rPr>
              <w:t>Comptes inactifs tenus dans nos livres au 31/12/202</w:t>
            </w:r>
            <w:r w:rsidR="000E6378">
              <w:rPr>
                <w:rFonts w:ascii="Arial" w:hAnsi="Arial" w:cs="Arial" w:hint="eastAsia"/>
                <w:sz w:val="23"/>
                <w:szCs w:val="23"/>
                <w:lang w:val="fr-FR"/>
              </w:rPr>
              <w:t>5</w:t>
            </w:r>
          </w:p>
        </w:tc>
        <w:tc>
          <w:tcPr>
            <w:tcW w:w="4173" w:type="dxa"/>
            <w:shd w:val="clear" w:color="auto" w:fill="E7E7E7"/>
            <w:tcMar>
              <w:top w:w="75" w:type="dxa"/>
              <w:left w:w="75" w:type="dxa"/>
              <w:bottom w:w="75" w:type="dxa"/>
              <w:right w:w="75" w:type="dxa"/>
            </w:tcMar>
            <w:vAlign w:val="center"/>
          </w:tcPr>
          <w:p w14:paraId="530DA2FC" w14:textId="28C4F2C6" w:rsidR="00CB122A" w:rsidRDefault="00000000">
            <w:pPr>
              <w:jc w:val="center"/>
              <w:rPr>
                <w:rFonts w:ascii="Arial" w:hAnsi="Arial" w:cs="Arial"/>
                <w:sz w:val="23"/>
                <w:szCs w:val="23"/>
                <w:lang w:val="fr-FR"/>
              </w:rPr>
            </w:pPr>
            <w:r>
              <w:rPr>
                <w:rFonts w:ascii="Arial" w:hAnsi="Arial" w:cs="Arial"/>
                <w:sz w:val="23"/>
                <w:szCs w:val="23"/>
                <w:lang w:val="fr-FR"/>
              </w:rPr>
              <w:t>Comptes inactifs transférés à la Caisse</w:t>
            </w:r>
            <w:r w:rsidRPr="000E6378">
              <w:rPr>
                <w:rFonts w:ascii="Arial" w:hAnsi="Arial" w:cs="Arial"/>
                <w:sz w:val="23"/>
                <w:szCs w:val="23"/>
                <w:lang w:val="fr-FR"/>
              </w:rPr>
              <w:t xml:space="preserve"> </w:t>
            </w:r>
            <w:r>
              <w:rPr>
                <w:rFonts w:ascii="Arial" w:hAnsi="Arial" w:cs="Arial"/>
                <w:sz w:val="23"/>
                <w:szCs w:val="23"/>
                <w:lang w:val="fr-FR"/>
              </w:rPr>
              <w:t>des</w:t>
            </w:r>
            <w:r>
              <w:rPr>
                <w:rFonts w:ascii="Arial" w:hAnsi="Arial" w:cs="Arial"/>
                <w:sz w:val="23"/>
                <w:szCs w:val="23"/>
                <w:lang w:val="fr-FR"/>
              </w:rPr>
              <w:br/>
              <w:t>Dépôts et Consignations en 202</w:t>
            </w:r>
            <w:r w:rsidR="000E6378">
              <w:rPr>
                <w:rFonts w:ascii="Arial" w:hAnsi="Arial" w:cs="Arial" w:hint="eastAsia"/>
                <w:sz w:val="23"/>
                <w:szCs w:val="23"/>
                <w:lang w:val="fr-FR"/>
              </w:rPr>
              <w:t>5</w:t>
            </w:r>
          </w:p>
        </w:tc>
      </w:tr>
      <w:tr w:rsidR="00CB122A" w14:paraId="7DA4D45A" w14:textId="77777777">
        <w:trPr>
          <w:trHeight w:val="877"/>
          <w:tblCellSpacing w:w="15" w:type="dxa"/>
          <w:jc w:val="center"/>
        </w:trPr>
        <w:tc>
          <w:tcPr>
            <w:tcW w:w="3970" w:type="dxa"/>
            <w:shd w:val="clear" w:color="auto" w:fill="F0F0F0"/>
            <w:tcMar>
              <w:top w:w="75" w:type="dxa"/>
              <w:left w:w="75" w:type="dxa"/>
              <w:bottom w:w="75" w:type="dxa"/>
              <w:right w:w="75" w:type="dxa"/>
            </w:tcMar>
            <w:vAlign w:val="center"/>
          </w:tcPr>
          <w:p w14:paraId="23F2A473" w14:textId="77777777" w:rsidR="00CB122A" w:rsidRDefault="00000000">
            <w:pPr>
              <w:rPr>
                <w:rFonts w:ascii="Arial" w:hAnsi="Arial" w:cs="Arial"/>
                <w:sz w:val="23"/>
                <w:szCs w:val="23"/>
                <w:lang w:val="fr-FR"/>
              </w:rPr>
            </w:pPr>
            <w:r>
              <w:rPr>
                <w:rFonts w:ascii="Arial" w:hAnsi="Arial" w:cs="Arial"/>
                <w:sz w:val="23"/>
                <w:szCs w:val="23"/>
                <w:lang w:val="fr-FR"/>
              </w:rPr>
              <w:t>Nombre</w:t>
            </w:r>
          </w:p>
        </w:tc>
        <w:tc>
          <w:tcPr>
            <w:tcW w:w="4415" w:type="dxa"/>
            <w:shd w:val="clear" w:color="auto" w:fill="F0F0F0"/>
            <w:tcMar>
              <w:top w:w="75" w:type="dxa"/>
              <w:left w:w="75" w:type="dxa"/>
              <w:bottom w:w="75" w:type="dxa"/>
              <w:right w:w="75" w:type="dxa"/>
            </w:tcMar>
            <w:vAlign w:val="center"/>
          </w:tcPr>
          <w:p w14:paraId="2E9B9623" w14:textId="04F833A3" w:rsidR="00CB122A" w:rsidRPr="000E6378" w:rsidRDefault="00CF742A">
            <w:pPr>
              <w:jc w:val="center"/>
              <w:rPr>
                <w:lang w:val="fr-FR"/>
              </w:rPr>
            </w:pPr>
            <w:proofErr w:type="gramStart"/>
            <w:r>
              <w:t>18</w:t>
            </w:r>
            <w:r w:rsidR="006630CD">
              <w:rPr>
                <w:rFonts w:hint="eastAsia"/>
              </w:rPr>
              <w:t>1</w:t>
            </w:r>
            <w:r>
              <w:t xml:space="preserve">  </w:t>
            </w:r>
            <w:proofErr w:type="spellStart"/>
            <w:r>
              <w:t>comptes</w:t>
            </w:r>
            <w:proofErr w:type="spellEnd"/>
            <w:proofErr w:type="gramEnd"/>
          </w:p>
        </w:tc>
        <w:tc>
          <w:tcPr>
            <w:tcW w:w="4173" w:type="dxa"/>
            <w:shd w:val="clear" w:color="auto" w:fill="F0F0F0"/>
            <w:tcMar>
              <w:top w:w="75" w:type="dxa"/>
              <w:left w:w="75" w:type="dxa"/>
              <w:bottom w:w="75" w:type="dxa"/>
              <w:right w:w="75" w:type="dxa"/>
            </w:tcMar>
            <w:vAlign w:val="center"/>
          </w:tcPr>
          <w:p w14:paraId="21DB85B2" w14:textId="77777777" w:rsidR="00CB122A" w:rsidRDefault="00000000">
            <w:pPr>
              <w:jc w:val="center"/>
            </w:pPr>
            <w:r>
              <w:rPr>
                <w:rFonts w:hint="eastAsia"/>
              </w:rPr>
              <w:t>0</w:t>
            </w:r>
          </w:p>
        </w:tc>
      </w:tr>
      <w:tr w:rsidR="00CB122A" w14:paraId="38D9D084" w14:textId="77777777">
        <w:trPr>
          <w:trHeight w:val="938"/>
          <w:tblCellSpacing w:w="15" w:type="dxa"/>
          <w:jc w:val="center"/>
        </w:trPr>
        <w:tc>
          <w:tcPr>
            <w:tcW w:w="3970" w:type="dxa"/>
            <w:shd w:val="clear" w:color="auto" w:fill="E7E7E7"/>
            <w:tcMar>
              <w:top w:w="75" w:type="dxa"/>
              <w:left w:w="75" w:type="dxa"/>
              <w:bottom w:w="75" w:type="dxa"/>
              <w:right w:w="75" w:type="dxa"/>
            </w:tcMar>
            <w:vAlign w:val="center"/>
          </w:tcPr>
          <w:p w14:paraId="377386F8" w14:textId="77777777" w:rsidR="00CB122A" w:rsidRDefault="00000000">
            <w:pPr>
              <w:rPr>
                <w:rFonts w:ascii="Arial" w:hAnsi="Arial" w:cs="Arial"/>
                <w:sz w:val="23"/>
                <w:szCs w:val="23"/>
                <w:lang w:val="fr-FR"/>
              </w:rPr>
            </w:pPr>
            <w:r>
              <w:rPr>
                <w:rFonts w:ascii="Arial" w:hAnsi="Arial" w:cs="Arial"/>
                <w:sz w:val="23"/>
                <w:szCs w:val="23"/>
                <w:lang w:val="fr-FR"/>
              </w:rPr>
              <w:t>Montant total des dépôts</w:t>
            </w:r>
            <w:r w:rsidRPr="000E6378">
              <w:rPr>
                <w:rFonts w:ascii="Arial" w:hAnsi="Arial" w:cs="Arial"/>
                <w:sz w:val="23"/>
                <w:szCs w:val="23"/>
                <w:lang w:val="fr-FR"/>
              </w:rPr>
              <w:t xml:space="preserve"> et avoirs</w:t>
            </w:r>
          </w:p>
        </w:tc>
        <w:tc>
          <w:tcPr>
            <w:tcW w:w="4415" w:type="dxa"/>
            <w:shd w:val="clear" w:color="auto" w:fill="E7E7E7"/>
            <w:tcMar>
              <w:top w:w="75" w:type="dxa"/>
              <w:left w:w="75" w:type="dxa"/>
              <w:bottom w:w="75" w:type="dxa"/>
              <w:right w:w="75" w:type="dxa"/>
            </w:tcMar>
            <w:vAlign w:val="center"/>
          </w:tcPr>
          <w:p w14:paraId="660D9EC0" w14:textId="18D28572" w:rsidR="00CB122A" w:rsidRDefault="00D45965">
            <w:pPr>
              <w:jc w:val="center"/>
            </w:pPr>
            <w:r>
              <w:t>2</w:t>
            </w:r>
            <w:r w:rsidR="00217E38">
              <w:rPr>
                <w:rFonts w:hint="eastAsia"/>
              </w:rPr>
              <w:t>56</w:t>
            </w:r>
            <w:r w:rsidR="00CF742A">
              <w:t xml:space="preserve"> </w:t>
            </w:r>
            <w:r w:rsidR="00217E38">
              <w:rPr>
                <w:rFonts w:hint="eastAsia"/>
              </w:rPr>
              <w:t>96</w:t>
            </w:r>
            <w:r w:rsidR="00D06968">
              <w:t>9</w:t>
            </w:r>
            <w:r>
              <w:rPr>
                <w:rFonts w:hint="eastAsia"/>
              </w:rPr>
              <w:t xml:space="preserve"> </w:t>
            </w:r>
            <w:r>
              <w:t>euros</w:t>
            </w:r>
          </w:p>
        </w:tc>
        <w:tc>
          <w:tcPr>
            <w:tcW w:w="4173" w:type="dxa"/>
            <w:shd w:val="clear" w:color="auto" w:fill="E7E7E7"/>
            <w:tcMar>
              <w:top w:w="75" w:type="dxa"/>
              <w:left w:w="75" w:type="dxa"/>
              <w:bottom w:w="75" w:type="dxa"/>
              <w:right w:w="75" w:type="dxa"/>
            </w:tcMar>
            <w:vAlign w:val="center"/>
          </w:tcPr>
          <w:p w14:paraId="3390109B" w14:textId="77777777" w:rsidR="00CB122A" w:rsidRDefault="00000000">
            <w:pPr>
              <w:jc w:val="center"/>
            </w:pPr>
            <w:r>
              <w:rPr>
                <w:rFonts w:hint="eastAsia"/>
              </w:rPr>
              <w:t>0</w:t>
            </w:r>
          </w:p>
        </w:tc>
      </w:tr>
    </w:tbl>
    <w:p w14:paraId="1721395D" w14:textId="77777777" w:rsidR="00CB122A" w:rsidRDefault="00CB122A"/>
    <w:sectPr w:rsidR="00CB12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宋体"/>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D0A4AE"/>
    <w:multiLevelType w:val="singleLevel"/>
    <w:tmpl w:val="D4D0A4AE"/>
    <w:lvl w:ilvl="0">
      <w:start w:val="1"/>
      <w:numFmt w:val="bullet"/>
      <w:lvlText w:val=""/>
      <w:lvlJc w:val="left"/>
      <w:pPr>
        <w:ind w:left="420" w:hanging="420"/>
      </w:pPr>
      <w:rPr>
        <w:rFonts w:ascii="Wingdings" w:hAnsi="Wingdings" w:hint="default"/>
        <w:sz w:val="15"/>
        <w:szCs w:val="15"/>
      </w:rPr>
    </w:lvl>
  </w:abstractNum>
  <w:abstractNum w:abstractNumId="1" w15:restartNumberingAfterBreak="0">
    <w:nsid w:val="0AA2A5AB"/>
    <w:multiLevelType w:val="singleLevel"/>
    <w:tmpl w:val="0AA2A5AB"/>
    <w:lvl w:ilvl="0">
      <w:start w:val="1"/>
      <w:numFmt w:val="bullet"/>
      <w:lvlText w:val=""/>
      <w:lvlJc w:val="left"/>
      <w:pPr>
        <w:ind w:left="420" w:hanging="420"/>
      </w:pPr>
      <w:rPr>
        <w:rFonts w:ascii="Wingdings" w:hAnsi="Wingdings" w:hint="default"/>
        <w:sz w:val="15"/>
        <w:szCs w:val="15"/>
      </w:rPr>
    </w:lvl>
  </w:abstractNum>
  <w:abstractNum w:abstractNumId="2" w15:restartNumberingAfterBreak="0">
    <w:nsid w:val="43586EA9"/>
    <w:multiLevelType w:val="singleLevel"/>
    <w:tmpl w:val="43586EA9"/>
    <w:lvl w:ilvl="0">
      <w:start w:val="1"/>
      <w:numFmt w:val="decimal"/>
      <w:suff w:val="space"/>
      <w:lvlText w:val="(%1)"/>
      <w:lvlJc w:val="left"/>
    </w:lvl>
  </w:abstractNum>
  <w:num w:numId="1" w16cid:durableId="910117660">
    <w:abstractNumId w:val="1"/>
  </w:num>
  <w:num w:numId="2" w16cid:durableId="1373075422">
    <w:abstractNumId w:val="0"/>
  </w:num>
  <w:num w:numId="3" w16cid:durableId="485125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6F2BB2"/>
    <w:rsid w:val="000E6378"/>
    <w:rsid w:val="00217E38"/>
    <w:rsid w:val="006630CD"/>
    <w:rsid w:val="008A76EE"/>
    <w:rsid w:val="00CB122A"/>
    <w:rsid w:val="00CF742A"/>
    <w:rsid w:val="00D06968"/>
    <w:rsid w:val="00D45965"/>
    <w:rsid w:val="049F46A6"/>
    <w:rsid w:val="066F2BB2"/>
    <w:rsid w:val="2B696C0B"/>
    <w:rsid w:val="354D6E1F"/>
    <w:rsid w:val="64436F96"/>
    <w:rsid w:val="65FD10A1"/>
    <w:rsid w:val="700E7BCA"/>
    <w:rsid w:val="7AB2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44B38"/>
  <w15:docId w15:val="{FE34B9CC-F27F-444D-87B6-1CE46A1F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QU'EST-CE QUE L'INACTIVITÉ SELON LA LOI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QU'EST-CE QUE L'INACTIVITÉ SELON LA LOI ?</dc:title>
  <dc:creator>hwfr-cuiyj</dc:creator>
  <cp:lastModifiedBy>白雪</cp:lastModifiedBy>
  <cp:revision>2</cp:revision>
  <dcterms:created xsi:type="dcterms:W3CDTF">2026-02-05T14:37:00Z</dcterms:created>
  <dcterms:modified xsi:type="dcterms:W3CDTF">2026-02-05T14:37:00Z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